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spacing w:after="300"/>
        <w:jc w:val="center"/>
      </w:pPr>
      <w:r>
        <w:t xml:space="preserve">Economic Comparison: Traditional Training vs. Continual Learning-Enabled Training</w:t>
      </w:r>
    </w:p>
    <w:p>
      <w:pPr>
        <w:spacing w:after="600"/>
        <w:jc w:val="center"/>
      </w:pPr>
      <w:r>
        <w:t xml:space="preserve">Understanding the True Cost of Model Lifecycle Management</w:t>
      </w:r>
    </w:p>
    <w:p>
      <w:pPr>
        <w:pStyle w:val="Heading1"/>
        <w:spacing w:before="400" w:after="240"/>
      </w:pPr>
      <w:r>
        <w:t xml:space="preserve">Executive Summary</w:t>
      </w:r>
    </w:p>
    <w:p>
      <w:pPr>
        <w:spacing w:after="240"/>
      </w:pPr>
      <w:r>
        <w:t xml:space="preserve">Organizations deploying large language models face a critical choice in how they manage model updates and maintain performance over time. The traditional approach treats all post-training degradation as irreversible catastrophic forgetting, resulting in expensive retraining cycles that can cost millions to hundreds of millions of dollars annually. Our research demonstrates that 70-90% of observed degradation stems from inference-level failures rather than destroyed knowledge, enabling a fundamentally different approach to model training and maintenance.</w:t>
      </w:r>
    </w:p>
    <w:p>
      <w:pPr>
        <w:spacing w:after="240"/>
      </w:pPr>
      <w:r>
        <w:t xml:space="preserve">This document compares the total cost of ownership between traditional training methodologies and continual learning-enabled training over a typical 3-year model lifecycle. The analysis reveals that organizations adopting training methods that prevent catastrophic forgetting can eliminate 90-95% of retraining costs while maintaining or improving model performance.</w:t>
      </w:r>
    </w:p>
    <w:p>
      <w:pPr>
        <w:spacing w:before="180" w:after="120"/>
      </w:pPr>
      <w:r>
        <w:t xml:space="preserve">Key Findings:</w:t>
      </w:r>
    </w:p>
    <w:p>
      <w:pPr>
        <w:pStyle w:val="ListParagraph"/>
        <w:numPr>
          <w:ilvl w:val="0"/>
          <w:numId w:val="1"/>
        </w:numPr>
        <w:spacing w:after="120"/>
      </w:pPr>
      <w:r>
        <w:t xml:space="preserve">Traditional approaches require quarterly to semi-annual retraining at costs ranging from $200K to $573M annually depending on model scale</w:t>
      </w:r>
    </w:p>
    <w:p>
      <w:pPr>
        <w:pStyle w:val="ListParagraph"/>
        <w:numPr>
          <w:ilvl w:val="0"/>
          <w:numId w:val="1"/>
        </w:numPr>
        <w:spacing w:after="120"/>
      </w:pPr>
      <w:r>
        <w:t xml:space="preserve">Continual learning-enabled training eliminates catastrophic forgetting, reducing the need for costly full retraining cycles</w:t>
      </w:r>
    </w:p>
    <w:p>
      <w:pPr>
        <w:pStyle w:val="ListParagraph"/>
        <w:numPr>
          <w:ilvl w:val="0"/>
          <w:numId w:val="1"/>
        </w:numPr>
        <w:spacing w:after="120"/>
      </w:pPr>
      <w:r>
        <w:t xml:space="preserve">When degradation occurs under continual learning methods, it is guaranteed to be reversible at 5-10% of retraining cost</w:t>
      </w:r>
    </w:p>
    <w:p>
      <w:pPr>
        <w:pStyle w:val="ListParagraph"/>
        <w:numPr>
          <w:ilvl w:val="0"/>
          <w:numId w:val="1"/>
        </w:numPr>
        <w:spacing w:after="400"/>
      </w:pPr>
      <w:r>
        <w:t xml:space="preserve">3-year cost savings range from $540K (7B models) to $702M (175B models) through elimination of retraining cycles</w:t>
      </w:r>
    </w:p>
    <w:p>
      <w:pPr>
        <w:pStyle w:val="Heading1"/>
        <w:spacing w:before="400" w:after="240"/>
      </w:pPr>
      <w:r>
        <w:t xml:space="preserve">1. The Catastrophic Forgetting Problem and Its Economic Impact</w:t>
      </w:r>
    </w:p>
    <w:p>
      <w:pPr>
        <w:pStyle w:val="Heading2"/>
        <w:spacing w:before="240" w:after="180"/>
      </w:pPr>
      <w:r>
        <w:t xml:space="preserve">1.1 What is Catastrophic Forgetting?</w:t>
      </w:r>
    </w:p>
    <w:p>
      <w:pPr>
        <w:spacing w:after="240"/>
      </w:pPr>
      <w:r>
        <w:t xml:space="preserve">When organizations fine-tune or update pre-trained language models with new data, they frequently observe performance degradation on previously learned tasks. This phenomenon has been labeled 'catastrophic forgetting' and is understood in the industry as the irreversible overwriting of previously encoded knowledge.</w:t>
      </w:r>
    </w:p>
    <w:p>
      <w:pPr>
        <w:spacing w:before="180" w:after="120"/>
      </w:pPr>
      <w:r>
        <w:t xml:space="preserve">The Standard Industry Response:</w:t>
      </w:r>
    </w:p>
    <w:p>
      <w:pPr>
        <w:pStyle w:val="ListParagraph"/>
        <w:numPr>
          <w:ilvl w:val="0"/>
          <w:numId w:val="1"/>
        </w:numPr>
        <w:spacing w:after="120"/>
      </w:pPr>
      <w:r>
        <w:t xml:space="preserve">Observe benchmark degradation after domain-specific training</w:t>
      </w:r>
    </w:p>
    <w:p>
      <w:pPr>
        <w:pStyle w:val="ListParagraph"/>
        <w:numPr>
          <w:ilvl w:val="0"/>
          <w:numId w:val="1"/>
        </w:numPr>
        <w:spacing w:after="120"/>
      </w:pPr>
      <w:r>
        <w:t xml:space="preserve">Assume knowledge has been destroyed and cannot be recovered</w:t>
      </w:r>
    </w:p>
    <w:p>
      <w:pPr>
        <w:pStyle w:val="ListParagraph"/>
        <w:numPr>
          <w:ilvl w:val="0"/>
          <w:numId w:val="1"/>
        </w:numPr>
        <w:spacing w:after="120"/>
      </w:pPr>
      <w:r>
        <w:t xml:space="preserve">Choose between accepting degraded performance or investing millions in full retraining</w:t>
      </w:r>
    </w:p>
    <w:p>
      <w:pPr>
        <w:pStyle w:val="ListParagraph"/>
        <w:numPr>
          <w:ilvl w:val="0"/>
          <w:numId w:val="1"/>
        </w:numPr>
        <w:spacing w:after="240"/>
      </w:pPr>
      <w:r>
        <w:t xml:space="preserve">Repeat this cycle every time the model needs updating</w:t>
      </w:r>
    </w:p>
    <w:p>
      <w:pPr>
        <w:pStyle w:val="Heading2"/>
        <w:spacing w:before="240" w:after="180"/>
      </w:pPr>
      <w:r>
        <w:t xml:space="preserve">1.2 The Misdiagnosis and Its Cost</w:t>
      </w:r>
    </w:p>
    <w:p>
      <w:pPr>
        <w:spacing w:after="180"/>
      </w:pPr>
      <w:r>
        <w:t xml:space="preserve">Recent research demonstrates that the industry's interpretation of catastrophic forgetting conflates three distinct failure modes:</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c>
          <w:tcPr>
            <w:tcW w:type="pct" w:w="25%"/>
            <w:shd w:fill="D3D3D3"/>
          </w:tcPr>
          <w:p>
            <w:pPr>
              <w:jc w:val="center"/>
            </w:pPr>
            <w:r>
              <w:t xml:space="preserve">Failure Mode</w:t>
            </w:r>
          </w:p>
        </w:tc>
        <w:tc>
          <w:tcPr>
            <w:tcW w:type="pct" w:w="40%"/>
            <w:shd w:fill="D3D3D3"/>
          </w:tcPr>
          <w:p>
            <w:pPr>
              <w:jc w:val="center"/>
            </w:pPr>
            <w:r>
              <w:t xml:space="preserve">Description</w:t>
            </w:r>
          </w:p>
        </w:tc>
        <w:tc>
          <w:tcPr>
            <w:tcW w:type="pct" w:w="15%"/>
            <w:shd w:fill="D3D3D3"/>
          </w:tcPr>
          <w:p>
            <w:pPr>
              <w:jc w:val="center"/>
            </w:pPr>
            <w:r>
              <w:t xml:space="preserve">Prevalence</w:t>
            </w:r>
          </w:p>
        </w:tc>
        <w:tc>
          <w:tcPr>
            <w:tcW w:type="pct" w:w="20%"/>
            <w:shd w:fill="D3D3D3"/>
          </w:tcPr>
          <w:p>
            <w:pPr>
              <w:jc w:val="center"/>
            </w:pPr>
            <w:r>
              <w:t xml:space="preserve">Reversible?</w:t>
            </w:r>
          </w:p>
        </w:tc>
      </w:tr>
      <w:tr>
        <w:tc>
          <w:p>
            <w:r>
              <w:t xml:space="preserve">True Knowledge Destruction</w:t>
            </w:r>
          </w:p>
        </w:tc>
        <w:tc>
          <w:p>
            <w:r>
              <w:t xml:space="preserve">Parameters overwritten, information genuinely lost</w:t>
            </w:r>
          </w:p>
        </w:tc>
        <w:tc>
          <w:p>
            <w:r>
              <w:t xml:space="preserve">10-30%</w:t>
            </w:r>
          </w:p>
        </w:tc>
        <w:tc>
          <w:p>
            <w:r>
              <w:t xml:space="preserve">No</w:t>
            </w:r>
          </w:p>
        </w:tc>
      </w:tr>
      <w:tr>
        <w:tc>
          <w:p>
            <w:r>
              <w:t xml:space="preserve">Inference Misrouting</w:t>
            </w:r>
          </w:p>
        </w:tc>
        <w:tc>
          <w:p>
            <w:r>
              <w:t xml:space="preserve">Knowledge exists but queries route through incorrect pathways</w:t>
            </w:r>
          </w:p>
        </w:tc>
        <w:tc>
          <w:p>
            <w:r>
              <w:t xml:space="preserve">40-60%</w:t>
            </w:r>
          </w:p>
        </w:tc>
        <w:tc>
          <w:p>
            <w:r>
              <w:t xml:space="preserve">Yes</w:t>
            </w:r>
          </w:p>
        </w:tc>
      </w:tr>
      <w:tr>
        <w:tc>
          <w:p>
            <w:r>
              <w:t xml:space="preserve">Semantic Boundary Collapse</w:t>
            </w:r>
          </w:p>
        </w:tc>
        <w:tc>
          <w:p>
            <w:r>
              <w:t xml:space="preserve">Domain boundaries blur, causing overgeneralization</w:t>
            </w:r>
          </w:p>
        </w:tc>
        <w:tc>
          <w:p>
            <w:r>
              <w:t xml:space="preserve">20-40%</w:t>
            </w:r>
          </w:p>
        </w:tc>
        <w:tc>
          <w:p>
            <w:r>
              <w:t xml:space="preserve">Yes</w:t>
            </w:r>
          </w:p>
        </w:tc>
      </w:tr>
    </w:tbl>
    <w:p>
      <w:pPr>
        <w:spacing w:before="180" w:after="400"/>
      </w:pPr>
      <w:r>
        <w:t xml:space="preserve">Standard benchmarks cannot distinguish between these cases, leading organizations to treat all degradation as irreversible and resort to expensive retraining when 70-90% of cases could be addressed through targeted intervention.</w:t>
      </w:r>
    </w:p>
    <w:p>
      <w:pPr>
        <w:pStyle w:val="Heading1"/>
        <w:spacing w:before="400" w:after="240"/>
      </w:pPr>
      <w:r>
        <w:t xml:space="preserve">2. Traditional Training Approach: Lifecycle Cost Analysis</w:t>
      </w:r>
    </w:p>
    <w:p>
      <w:pPr>
        <w:pStyle w:val="Heading2"/>
        <w:spacing w:before="240" w:after="180"/>
      </w:pPr>
      <w:r>
        <w:t xml:space="preserve">2.1 Cost Structure of Traditional Training</w:t>
      </w:r>
    </w:p>
    <w:p>
      <w:pPr>
        <w:spacing w:after="180"/>
      </w:pPr>
      <w:r>
        <w:t xml:space="preserve">Organizations using traditional training methods face a predictable cost structure:</w:t>
      </w:r>
    </w:p>
    <w:p>
      <w:pPr>
        <w:pStyle w:val="Heading3"/>
        <w:spacing w:before="180" w:after="120"/>
      </w:pPr>
      <w:r>
        <w:t xml:space="preserve">Phase 1: Initial Training</w:t>
      </w:r>
    </w:p>
    <w:p>
      <w:pPr>
        <w:pStyle w:val="ListParagraph"/>
        <w:numPr>
          <w:ilvl w:val="0"/>
          <w:numId w:val="1"/>
        </w:numPr>
        <w:spacing w:after="120"/>
      </w:pPr>
      <w:r>
        <w:t xml:space="preserve">Base model training with initial dataset and capabilities</w:t>
      </w:r>
    </w:p>
    <w:p>
      <w:pPr>
        <w:pStyle w:val="ListParagraph"/>
        <w:numPr>
          <w:ilvl w:val="0"/>
          <w:numId w:val="1"/>
        </w:numPr>
        <w:spacing w:after="120"/>
      </w:pPr>
      <w:r>
        <w:t xml:space="preserve">Cost varies by model size: $50K-$200K (7B), $2M-$10M (70B), $78M-$191M (175B+)</w:t>
      </w:r>
    </w:p>
    <w:p>
      <w:pPr>
        <w:pStyle w:val="ListParagraph"/>
        <w:numPr>
          <w:ilvl w:val="0"/>
          <w:numId w:val="1"/>
        </w:numPr>
        <w:spacing w:after="240"/>
      </w:pPr>
      <w:r>
        <w:t xml:space="preserve">Timeline: Weeks to months depending on scale</w:t>
      </w:r>
    </w:p>
    <w:p>
      <w:pPr>
        <w:pStyle w:val="Heading3"/>
        <w:spacing w:before="180" w:after="120"/>
      </w:pPr>
      <w:r>
        <w:t xml:space="preserve">Phase 2: Production Deployment</w:t>
      </w:r>
    </w:p>
    <w:p>
      <w:pPr>
        <w:pStyle w:val="ListParagraph"/>
        <w:numPr>
          <w:ilvl w:val="0"/>
          <w:numId w:val="1"/>
        </w:numPr>
        <w:spacing w:after="120"/>
      </w:pPr>
      <w:r>
        <w:t xml:space="preserve">Model performs well initially with trained capabilities</w:t>
      </w:r>
    </w:p>
    <w:p>
      <w:pPr>
        <w:pStyle w:val="ListParagraph"/>
        <w:numPr>
          <w:ilvl w:val="0"/>
          <w:numId w:val="1"/>
        </w:numPr>
        <w:spacing w:after="120"/>
      </w:pPr>
      <w:r>
        <w:t xml:space="preserve">Ongoing inference costs but no training expenses</w:t>
      </w:r>
    </w:p>
    <w:p>
      <w:pPr>
        <w:pStyle w:val="ListParagraph"/>
        <w:numPr>
          <w:ilvl w:val="0"/>
          <w:numId w:val="1"/>
        </w:numPr>
        <w:spacing w:after="240"/>
      </w:pPr>
      <w:r>
        <w:t xml:space="preserve">Duration: 2-6 months before update needs arise</w:t>
      </w:r>
    </w:p>
    <w:p>
      <w:pPr>
        <w:pStyle w:val="Heading3"/>
        <w:spacing w:before="180" w:after="120"/>
      </w:pPr>
      <w:r>
        <w:t xml:space="preserve">Phase 3: Fine-Tuning and Degradation</w:t>
      </w:r>
    </w:p>
    <w:p>
      <w:pPr>
        <w:pStyle w:val="ListParagraph"/>
        <w:numPr>
          <w:ilvl w:val="0"/>
          <w:numId w:val="1"/>
        </w:numPr>
        <w:spacing w:after="120"/>
      </w:pPr>
      <w:r>
        <w:t xml:space="preserve">New domain data or capabilities need to be added</w:t>
      </w:r>
    </w:p>
    <w:p>
      <w:pPr>
        <w:pStyle w:val="ListParagraph"/>
        <w:numPr>
          <w:ilvl w:val="0"/>
          <w:numId w:val="1"/>
        </w:numPr>
        <w:spacing w:after="120"/>
      </w:pPr>
      <w:r>
        <w:t xml:space="preserve">Fine-tuning causes benchmark degradation</w:t>
      </w:r>
    </w:p>
    <w:p>
      <w:pPr>
        <w:pStyle w:val="ListParagraph"/>
        <w:numPr>
          <w:ilvl w:val="0"/>
          <w:numId w:val="1"/>
        </w:numPr>
        <w:spacing w:after="120"/>
      </w:pPr>
      <w:r>
        <w:t xml:space="preserve">Cannot determine if degradation is reversible or permanent</w:t>
      </w:r>
    </w:p>
    <w:p>
      <w:pPr>
        <w:pStyle w:val="ListParagraph"/>
        <w:numPr>
          <w:ilvl w:val="0"/>
          <w:numId w:val="1"/>
        </w:numPr>
        <w:spacing w:after="240"/>
      </w:pPr>
      <w:r>
        <w:t xml:space="preserve">Must assume worst case: knowledge has been destroyed</w:t>
      </w:r>
    </w:p>
    <w:p>
      <w:pPr>
        <w:pStyle w:val="Heading3"/>
        <w:spacing w:before="180" w:after="120"/>
      </w:pPr>
      <w:r>
        <w:t xml:space="preserve">Phase 4: Retraining Decision</w:t>
      </w:r>
    </w:p>
    <w:p>
      <w:pPr>
        <w:pStyle w:val="ListParagraph"/>
        <w:numPr>
          <w:ilvl w:val="0"/>
          <w:numId w:val="1"/>
        </w:numPr>
        <w:spacing w:after="120"/>
      </w:pPr>
      <w:r>
        <w:t xml:space="preserve">Option A: Accept degraded performance (rarely viable for production)</w:t>
      </w:r>
    </w:p>
    <w:p>
      <w:pPr>
        <w:pStyle w:val="ListParagraph"/>
        <w:numPr>
          <w:ilvl w:val="0"/>
          <w:numId w:val="1"/>
        </w:numPr>
        <w:spacing w:after="120"/>
      </w:pPr>
      <w:r>
        <w:t xml:space="preserve">Option B: Implement mitigation strategies (LoRA, weight freezing) - limits adaptability</w:t>
      </w:r>
    </w:p>
    <w:p>
      <w:pPr>
        <w:pStyle w:val="ListParagraph"/>
        <w:numPr>
          <w:ilvl w:val="0"/>
          <w:numId w:val="1"/>
        </w:numPr>
        <w:spacing w:after="120"/>
      </w:pPr>
      <w:r>
        <w:t xml:space="preserve">Option C: Full retraining with combined old and new data - expensive but restores performance</w:t>
      </w:r>
    </w:p>
    <w:p>
      <w:pPr>
        <w:pStyle w:val="ListParagraph"/>
        <w:numPr>
          <w:ilvl w:val="0"/>
          <w:numId w:val="1"/>
        </w:numPr>
        <w:spacing w:after="240"/>
      </w:pPr>
      <w:r>
        <w:t xml:space="preserve">Cost of retraining: 50% of initial training cost (using continual pre-training)</w:t>
      </w:r>
    </w:p>
    <w:p>
      <w:pPr>
        <w:pStyle w:val="Heading3"/>
        <w:spacing w:before="180" w:after="120"/>
      </w:pPr>
      <w:r>
        <w:t xml:space="preserve">Phase 5: Recurring Cycle</w:t>
      </w:r>
    </w:p>
    <w:p>
      <w:pPr>
        <w:pStyle w:val="ListParagraph"/>
        <w:numPr>
          <w:ilvl w:val="0"/>
          <w:numId w:val="1"/>
        </w:numPr>
        <w:spacing w:after="120"/>
      </w:pPr>
      <w:r>
        <w:t xml:space="preserve">Process repeats every time new capabilities are needed</w:t>
      </w:r>
    </w:p>
    <w:p>
      <w:pPr>
        <w:pStyle w:val="ListParagraph"/>
        <w:numPr>
          <w:ilvl w:val="0"/>
          <w:numId w:val="1"/>
        </w:numPr>
        <w:spacing w:after="120"/>
      </w:pPr>
      <w:r>
        <w:t xml:space="preserve">Frequency: 2-6 times per year depending on business needs</w:t>
      </w:r>
    </w:p>
    <w:p>
      <w:pPr>
        <w:pStyle w:val="ListParagraph"/>
        <w:numPr>
          <w:ilvl w:val="0"/>
          <w:numId w:val="1"/>
        </w:numPr>
        <w:spacing w:after="240"/>
      </w:pPr>
      <w:r>
        <w:t xml:space="preserve">Cumulative costs escalate rapidly over model lifetime</w:t>
      </w:r>
    </w:p>
    <w:p>
      <w:pPr>
        <w:pStyle w:val="Heading2"/>
        <w:spacing w:before="240" w:after="180"/>
      </w:pPr>
      <w:r>
        <w:t xml:space="preserve">2.2 Three-Year Cost Projections by Model Scale</w:t>
      </w:r>
    </w:p>
    <w:p>
      <w:pPr>
        <w:pStyle w:val="Heading3"/>
        <w:spacing w:before="180" w:after="120"/>
      </w:pPr>
      <w:r>
        <w:t xml:space="preserve">7B Parameter Model - Traditional Approach</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c>
          <w:tcPr>
            <w:tcW w:type="pct" w:w="40%"/>
            <w:shd w:fill="D3D3D3"/>
          </w:tcPr>
          <w:p>
            <w:pPr>
              <w:jc w:val="center"/>
            </w:pPr>
            <w:r>
              <w:t xml:space="preserve">Cost Component</w:t>
            </w:r>
          </w:p>
        </w:tc>
        <w:tc>
          <w:tcPr>
            <w:tcW w:type="pct" w:w="20%"/>
            <w:shd w:fill="D3D3D3"/>
          </w:tcPr>
          <w:p>
            <w:pPr>
              <w:jc w:val="center"/>
            </w:pPr>
            <w:r>
              <w:t xml:space="preserve">Year 1</w:t>
            </w:r>
          </w:p>
        </w:tc>
        <w:tc>
          <w:tcPr>
            <w:tcW w:type="pct" w:w="20%"/>
            <w:shd w:fill="D3D3D3"/>
          </w:tcPr>
          <w:p>
            <w:pPr>
              <w:jc w:val="center"/>
            </w:pPr>
            <w:r>
              <w:t xml:space="preserve">Year 2</w:t>
            </w:r>
          </w:p>
        </w:tc>
        <w:tc>
          <w:tcPr>
            <w:tcW w:type="pct" w:w="20%"/>
            <w:shd w:fill="D3D3D3"/>
          </w:tcPr>
          <w:p>
            <w:pPr>
              <w:jc w:val="center"/>
            </w:pPr>
            <w:r>
              <w:t xml:space="preserve">Year 3</w:t>
            </w:r>
          </w:p>
        </w:tc>
      </w:tr>
      <w:tr>
        <w:tc>
          <w:p>
            <w:r>
              <w:t xml:space="preserve">Initial Training</w:t>
            </w:r>
          </w:p>
        </w:tc>
        <w:tc>
          <w:p>
            <w:r>
              <w:t xml:space="preserve">$125K</w:t>
            </w:r>
          </w:p>
        </w:tc>
        <w:tc>
          <w:p>
            <w:r>
              <w:t xml:space="preserve">-</w:t>
            </w:r>
          </w:p>
        </w:tc>
        <w:tc>
          <w:p>
            <w:r>
              <w:t xml:space="preserve">-</w:t>
            </w:r>
          </w:p>
        </w:tc>
      </w:tr>
      <w:tr>
        <w:tc>
          <w:p>
            <w:r>
              <w:t xml:space="preserve">Retraining Cycles (4-5x/year)</w:t>
            </w:r>
          </w:p>
        </w:tc>
        <w:tc>
          <w:p>
            <w:r>
              <w:t xml:space="preserve">$250K</w:t>
            </w:r>
          </w:p>
        </w:tc>
        <w:tc>
          <w:p>
            <w:r>
              <w:t xml:space="preserve">$250K</w:t>
            </w:r>
          </w:p>
        </w:tc>
        <w:tc>
          <w:p>
            <w:r>
              <w:t xml:space="preserve">$250K</w:t>
            </w:r>
          </w:p>
        </w:tc>
      </w:tr>
      <w:tr>
        <w:tc>
          <w:tcPr>
            <w:shd w:fill="F0F0F0"/>
          </w:tcPr>
          <w:p>
            <w:r>
              <w:t xml:space="preserve">Annual Total</w:t>
            </w:r>
          </w:p>
        </w:tc>
        <w:tc>
          <w:tcPr>
            <w:shd w:fill="F0F0F0"/>
          </w:tcPr>
          <w:p>
            <w:r>
              <w:t xml:space="preserve">$375K</w:t>
            </w:r>
          </w:p>
        </w:tc>
        <w:tc>
          <w:tcPr>
            <w:shd w:fill="F0F0F0"/>
          </w:tcPr>
          <w:p>
            <w:r>
              <w:t xml:space="preserve">$250K</w:t>
            </w:r>
          </w:p>
        </w:tc>
        <w:tc>
          <w:tcPr>
            <w:shd w:fill="F0F0F0"/>
          </w:tcPr>
          <w:p>
            <w:r>
              <w:t xml:space="preserve">$250K</w:t>
            </w:r>
          </w:p>
        </w:tc>
      </w:tr>
      <w:tr>
        <w:tc>
          <w:tcPr>
            <w:shd w:fill="E6E6E6"/>
          </w:tcPr>
          <w:p>
            <w:r>
              <w:t xml:space="preserve">3-Year Total Cost</w:t>
            </w:r>
          </w:p>
        </w:tc>
        <w:tc>
          <w:tcPr>
            <w:gridSpan w:val="3"/>
            <w:shd w:fill="E6E6E6"/>
          </w:tcPr>
          <w:p>
            <w:r>
              <w:t xml:space="preserve">$875K</w:t>
            </w:r>
          </w:p>
        </w:tc>
      </w:tr>
    </w:tbl>
    <w:p>
      <w:pPr>
        <w:spacing w:after="240"/>
      </w:pPr>
    </w:p>
    <w:p>
      <w:pPr>
        <w:pStyle w:val="Heading3"/>
        <w:spacing w:before="180" w:after="120"/>
      </w:pPr>
      <w:r>
        <w:t xml:space="preserve">70B Parameter Model - Traditional Approach</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c>
          <w:tcPr>
            <w:tcW w:type="pct" w:w="40%"/>
            <w:shd w:fill="D3D3D3"/>
          </w:tcPr>
          <w:p>
            <w:pPr>
              <w:jc w:val="center"/>
            </w:pPr>
            <w:r>
              <w:t xml:space="preserve">Cost Component</w:t>
            </w:r>
          </w:p>
        </w:tc>
        <w:tc>
          <w:tcPr>
            <w:tcW w:type="pct" w:w="20%"/>
            <w:shd w:fill="D3D3D3"/>
          </w:tcPr>
          <w:p>
            <w:pPr>
              <w:jc w:val="center"/>
            </w:pPr>
            <w:r>
              <w:t xml:space="preserve">Year 1</w:t>
            </w:r>
          </w:p>
        </w:tc>
        <w:tc>
          <w:tcPr>
            <w:tcW w:type="pct" w:w="20%"/>
            <w:shd w:fill="D3D3D3"/>
          </w:tcPr>
          <w:p>
            <w:pPr>
              <w:jc w:val="center"/>
            </w:pPr>
            <w:r>
              <w:t xml:space="preserve">Year 2</w:t>
            </w:r>
          </w:p>
        </w:tc>
        <w:tc>
          <w:tcPr>
            <w:tcW w:type="pct" w:w="20%"/>
            <w:shd w:fill="D3D3D3"/>
          </w:tcPr>
          <w:p>
            <w:pPr>
              <w:jc w:val="center"/>
            </w:pPr>
            <w:r>
              <w:t xml:space="preserve">Year 3</w:t>
            </w:r>
          </w:p>
        </w:tc>
      </w:tr>
      <w:tr>
        <w:tc>
          <w:p>
            <w:r>
              <w:t xml:space="preserve">Initial Training</w:t>
            </w:r>
          </w:p>
        </w:tc>
        <w:tc>
          <w:p>
            <w:r>
              <w:t xml:space="preserve">$6M</w:t>
            </w:r>
          </w:p>
        </w:tc>
        <w:tc>
          <w:p>
            <w:r>
              <w:t xml:space="preserve">-</w:t>
            </w:r>
          </w:p>
        </w:tc>
        <w:tc>
          <w:p>
            <w:r>
              <w:t xml:space="preserve">-</w:t>
            </w:r>
          </w:p>
        </w:tc>
      </w:tr>
      <w:tr>
        <w:tc>
          <w:p>
            <w:r>
              <w:t xml:space="preserve">Retraining Cycles (4x/year)</w:t>
            </w:r>
          </w:p>
        </w:tc>
        <w:tc>
          <w:p>
            <w:r>
              <w:t xml:space="preserve">$12M</w:t>
            </w:r>
          </w:p>
        </w:tc>
        <w:tc>
          <w:p>
            <w:r>
              <w:t xml:space="preserve">$12M</w:t>
            </w:r>
          </w:p>
        </w:tc>
        <w:tc>
          <w:p>
            <w:r>
              <w:t xml:space="preserve">$12M</w:t>
            </w:r>
          </w:p>
        </w:tc>
      </w:tr>
      <w:tr>
        <w:tc>
          <w:tcPr>
            <w:shd w:fill="F0F0F0"/>
          </w:tcPr>
          <w:p>
            <w:r>
              <w:t xml:space="preserve">Annual Total</w:t>
            </w:r>
          </w:p>
        </w:tc>
        <w:tc>
          <w:tcPr>
            <w:shd w:fill="F0F0F0"/>
          </w:tcPr>
          <w:p>
            <w:r>
              <w:t xml:space="preserve">$18M</w:t>
            </w:r>
          </w:p>
        </w:tc>
        <w:tc>
          <w:tcPr>
            <w:shd w:fill="F0F0F0"/>
          </w:tcPr>
          <w:p>
            <w:r>
              <w:t xml:space="preserve">$12M</w:t>
            </w:r>
          </w:p>
        </w:tc>
        <w:tc>
          <w:tcPr>
            <w:shd w:fill="F0F0F0"/>
          </w:tcPr>
          <w:p>
            <w:r>
              <w:t xml:space="preserve">$12M</w:t>
            </w:r>
          </w:p>
        </w:tc>
      </w:tr>
      <w:tr>
        <w:tc>
          <w:tcPr>
            <w:shd w:fill="E6E6E6"/>
          </w:tcPr>
          <w:p>
            <w:r>
              <w:t xml:space="preserve">3-Year Total Cost</w:t>
            </w:r>
          </w:p>
        </w:tc>
        <w:tc>
          <w:tcPr>
            <w:gridSpan w:val="3"/>
            <w:shd w:fill="E6E6E6"/>
          </w:tcPr>
          <w:p>
            <w:r>
              <w:t xml:space="preserve">$42M</w:t>
            </w:r>
          </w:p>
        </w:tc>
      </w:tr>
    </w:tbl>
    <w:p>
      <w:pPr>
        <w:spacing w:after="240"/>
      </w:pPr>
    </w:p>
    <w:p>
      <w:pPr>
        <w:pStyle w:val="Heading3"/>
        <w:spacing w:before="180" w:after="120"/>
      </w:pPr>
      <w:r>
        <w:t xml:space="preserve">175B Parameter Model - Traditional Approach</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c>
          <w:tcPr>
            <w:tcW w:type="pct" w:w="40%"/>
            <w:shd w:fill="D3D3D3"/>
          </w:tcPr>
          <w:p>
            <w:pPr>
              <w:jc w:val="center"/>
            </w:pPr>
            <w:r>
              <w:t xml:space="preserve">Cost Component</w:t>
            </w:r>
          </w:p>
        </w:tc>
        <w:tc>
          <w:tcPr>
            <w:tcW w:type="pct" w:w="20%"/>
            <w:shd w:fill="D3D3D3"/>
          </w:tcPr>
          <w:p>
            <w:pPr>
              <w:jc w:val="center"/>
            </w:pPr>
            <w:r>
              <w:t xml:space="preserve">Year 1</w:t>
            </w:r>
          </w:p>
        </w:tc>
        <w:tc>
          <w:tcPr>
            <w:tcW w:type="pct" w:w="20%"/>
            <w:shd w:fill="D3D3D3"/>
          </w:tcPr>
          <w:p>
            <w:pPr>
              <w:jc w:val="center"/>
            </w:pPr>
            <w:r>
              <w:t xml:space="preserve">Year 2</w:t>
            </w:r>
          </w:p>
        </w:tc>
        <w:tc>
          <w:tcPr>
            <w:tcW w:type="pct" w:w="20%"/>
            <w:shd w:fill="D3D3D3"/>
          </w:tcPr>
          <w:p>
            <w:pPr>
              <w:jc w:val="center"/>
            </w:pPr>
            <w:r>
              <w:t xml:space="preserve">Year 3</w:t>
            </w:r>
          </w:p>
        </w:tc>
      </w:tr>
      <w:tr>
        <w:tc>
          <w:p>
            <w:r>
              <w:t xml:space="preserve">Initial Training</w:t>
            </w:r>
          </w:p>
        </w:tc>
        <w:tc>
          <w:p>
            <w:r>
              <w:t xml:space="preserve">$130M</w:t>
            </w:r>
          </w:p>
        </w:tc>
        <w:tc>
          <w:p>
            <w:r>
              <w:t xml:space="preserve">-</w:t>
            </w:r>
          </w:p>
        </w:tc>
        <w:tc>
          <w:p>
            <w:r>
              <w:t xml:space="preserve">-</w:t>
            </w:r>
          </w:p>
        </w:tc>
      </w:tr>
      <w:tr>
        <w:tc>
          <w:p>
            <w:r>
              <w:t xml:space="preserve">Retraining Cycles (3x/year)</w:t>
            </w:r>
          </w:p>
        </w:tc>
        <w:tc>
          <w:p>
            <w:r>
              <w:t xml:space="preserve">$195M</w:t>
            </w:r>
          </w:p>
        </w:tc>
        <w:tc>
          <w:p>
            <w:r>
              <w:t xml:space="preserve">$195M</w:t>
            </w:r>
          </w:p>
        </w:tc>
        <w:tc>
          <w:p>
            <w:r>
              <w:t xml:space="preserve">$195M</w:t>
            </w:r>
          </w:p>
        </w:tc>
      </w:tr>
      <w:tr>
        <w:tc>
          <w:tcPr>
            <w:shd w:fill="F0F0F0"/>
          </w:tcPr>
          <w:p>
            <w:r>
              <w:t xml:space="preserve">Annual Total</w:t>
            </w:r>
          </w:p>
        </w:tc>
        <w:tc>
          <w:tcPr>
            <w:shd w:fill="F0F0F0"/>
          </w:tcPr>
          <w:p>
            <w:r>
              <w:t xml:space="preserve">$325M</w:t>
            </w:r>
          </w:p>
        </w:tc>
        <w:tc>
          <w:tcPr>
            <w:shd w:fill="F0F0F0"/>
          </w:tcPr>
          <w:p>
            <w:r>
              <w:t xml:space="preserve">$195M</w:t>
            </w:r>
          </w:p>
        </w:tc>
        <w:tc>
          <w:tcPr>
            <w:shd w:fill="F0F0F0"/>
          </w:tcPr>
          <w:p>
            <w:r>
              <w:t xml:space="preserve">$195M</w:t>
            </w:r>
          </w:p>
        </w:tc>
      </w:tr>
      <w:tr>
        <w:tc>
          <w:tcPr>
            <w:shd w:fill="E6E6E6"/>
          </w:tcPr>
          <w:p>
            <w:r>
              <w:t xml:space="preserve">3-Year Total Cost</w:t>
            </w:r>
          </w:p>
        </w:tc>
        <w:tc>
          <w:tcPr>
            <w:gridSpan w:val="3"/>
            <w:shd w:fill="E6E6E6"/>
          </w:tcPr>
          <w:p>
            <w:r>
              <w:t xml:space="preserve">$715M</w:t>
            </w:r>
          </w:p>
        </w:tc>
      </w:tr>
    </w:tbl>
    <w:p>
      <w:pPr>
        <w:spacing w:after="400"/>
      </w:pPr>
    </w:p>
    <w:r>
      <w:br w:type="page"/>
    </w:r>
    <w:p>
      <w:pPr>
        <w:pStyle w:val="Heading1"/>
        <w:spacing w:before="400" w:after="240"/>
      </w:pPr>
      <w:r>
        <w:t xml:space="preserve">3. Continual Learning-Enabled Training: A Different Paradigm</w:t>
      </w:r>
    </w:p>
    <w:p>
      <w:pPr>
        <w:pStyle w:val="Heading2"/>
        <w:spacing w:before="240" w:after="180"/>
      </w:pPr>
      <w:r>
        <w:t xml:space="preserve">3.1 How Continual Learning Training Differs</w:t>
      </w:r>
    </w:p>
    <w:p>
      <w:pPr>
        <w:spacing w:after="240"/>
      </w:pPr>
      <w:r>
        <w:t xml:space="preserve">Continual learning-enabled training employs methodologies that fundamentally prevent the catastrophic forgetting problem. Rather than treating degradation as inevitable, these approaches are designed to preserve existing knowledge while adding new capabilities.</w:t>
      </w:r>
    </w:p>
    <w:p>
      <w:pPr>
        <w:spacing w:before="180" w:after="120"/>
      </w:pPr>
      <w:r>
        <w:t xml:space="preserve">Key Differentiators:</w:t>
      </w:r>
    </w:p>
    <w:p>
      <w:pPr>
        <w:pStyle w:val="Heading3"/>
        <w:spacing w:before="180" w:after="120"/>
      </w:pPr>
      <w:r>
        <w:t xml:space="preserve">Knowledge Preservation Architecture</w:t>
      </w:r>
    </w:p>
    <w:p>
      <w:pPr>
        <w:pStyle w:val="ListParagraph"/>
        <w:numPr>
          <w:ilvl w:val="0"/>
          <w:numId w:val="1"/>
        </w:numPr>
        <w:spacing w:after="120"/>
      </w:pPr>
      <w:r>
        <w:t xml:space="preserve">Training methodologies designed to avoid parameter overwriting</w:t>
      </w:r>
    </w:p>
    <w:p>
      <w:pPr>
        <w:pStyle w:val="ListParagraph"/>
        <w:numPr>
          <w:ilvl w:val="0"/>
          <w:numId w:val="1"/>
        </w:numPr>
        <w:spacing w:after="120"/>
      </w:pPr>
      <w:r>
        <w:t xml:space="preserve">Existing representations remain intact during updates</w:t>
      </w:r>
    </w:p>
    <w:p>
      <w:pPr>
        <w:pStyle w:val="ListParagraph"/>
        <w:numPr>
          <w:ilvl w:val="0"/>
          <w:numId w:val="1"/>
        </w:numPr>
        <w:spacing w:after="240"/>
      </w:pPr>
      <w:r>
        <w:t xml:space="preserve">New capabilities added without destroying old ones</w:t>
      </w:r>
    </w:p>
    <w:p>
      <w:pPr>
        <w:pStyle w:val="Heading3"/>
        <w:spacing w:before="180" w:after="120"/>
      </w:pPr>
      <w:r>
        <w:t xml:space="preserve">Capacity Assessment and Predictive Diagnostics</w:t>
      </w:r>
    </w:p>
    <w:p>
      <w:pPr>
        <w:pStyle w:val="ListParagraph"/>
        <w:numPr>
          <w:ilvl w:val="0"/>
          <w:numId w:val="1"/>
        </w:numPr>
        <w:spacing w:after="120"/>
      </w:pPr>
      <w:r>
        <w:t xml:space="preserve">Pre-training analysis determines if model has capacity for new updates</w:t>
      </w:r>
    </w:p>
    <w:p>
      <w:pPr>
        <w:pStyle w:val="ListParagraph"/>
        <w:numPr>
          <w:ilvl w:val="0"/>
          <w:numId w:val="1"/>
        </w:numPr>
        <w:spacing w:after="120"/>
      </w:pPr>
      <w:r>
        <w:t xml:space="preserve">Predictive modeling shows expected misrouting or semantic drift before training begins</w:t>
      </w:r>
    </w:p>
    <w:p>
      <w:pPr>
        <w:pStyle w:val="ListParagraph"/>
        <w:numPr>
          <w:ilvl w:val="0"/>
          <w:numId w:val="1"/>
        </w:numPr>
        <w:spacing w:after="120"/>
      </w:pPr>
      <w:r>
        <w:t xml:space="preserve">Organizations make informed decisions based on data, not fear</w:t>
      </w:r>
    </w:p>
    <w:p>
      <w:pPr>
        <w:pStyle w:val="ListParagraph"/>
        <w:numPr>
          <w:ilvl w:val="0"/>
          <w:numId w:val="1"/>
        </w:numPr>
        <w:spacing w:after="240"/>
      </w:pPr>
      <w:r>
        <w:t xml:space="preserve">Know the risks and costs before committing to training</w:t>
      </w:r>
    </w:p>
    <w:p>
      <w:pPr>
        <w:pStyle w:val="Heading3"/>
        <w:spacing w:before="180" w:after="120"/>
      </w:pPr>
      <w:r>
        <w:t xml:space="preserve">Verifiable Knowledge Retention</w:t>
      </w:r>
    </w:p>
    <w:p>
      <w:pPr>
        <w:pStyle w:val="ListParagraph"/>
        <w:numPr>
          <w:ilvl w:val="0"/>
          <w:numId w:val="1"/>
        </w:numPr>
        <w:spacing w:after="120"/>
      </w:pPr>
      <w:r>
        <w:t xml:space="preserve">Because training doesn't overwrite parameters, any degradation must be inference-level</w:t>
      </w:r>
    </w:p>
    <w:p>
      <w:pPr>
        <w:pStyle w:val="ListParagraph"/>
        <w:numPr>
          <w:ilvl w:val="0"/>
          <w:numId w:val="1"/>
        </w:numPr>
        <w:spacing w:after="120"/>
      </w:pPr>
      <w:r>
        <w:t xml:space="preserve">If misrouting or boundary collapse occurs, it's guaranteed to be reversible</w:t>
      </w:r>
    </w:p>
    <w:p>
      <w:pPr>
        <w:pStyle w:val="ListParagraph"/>
        <w:numPr>
          <w:ilvl w:val="0"/>
          <w:numId w:val="1"/>
        </w:numPr>
        <w:spacing w:after="120"/>
      </w:pPr>
      <w:r>
        <w:t xml:space="preserve">Targeted interventions restore performance at 5-10% of retraining cost</w:t>
      </w:r>
    </w:p>
    <w:p>
      <w:pPr>
        <w:pStyle w:val="ListParagraph"/>
        <w:numPr>
          <w:ilvl w:val="0"/>
          <w:numId w:val="1"/>
        </w:numPr>
        <w:spacing w:after="240"/>
      </w:pPr>
      <w:r>
        <w:t xml:space="preserve">No uncertainty about whether knowledge has been destroyed</w:t>
      </w:r>
    </w:p>
    <w:p>
      <w:pPr>
        <w:pStyle w:val="Heading2"/>
        <w:spacing w:before="240" w:after="180"/>
      </w:pPr>
      <w:r>
        <w:t xml:space="preserve">3.2 Cost Structure Under Continual Learning Approach</w:t>
      </w:r>
    </w:p>
    <w:p>
      <w:pPr>
        <w:pStyle w:val="Heading3"/>
        <w:spacing w:before="180" w:after="120"/>
      </w:pPr>
      <w:r>
        <w:t xml:space="preserve">Phase 1: Initial Training with Knowledge Preservation</w:t>
      </w:r>
    </w:p>
    <w:p>
      <w:pPr>
        <w:pStyle w:val="ListParagraph"/>
        <w:numPr>
          <w:ilvl w:val="0"/>
          <w:numId w:val="1"/>
        </w:numPr>
        <w:spacing w:after="120"/>
      </w:pPr>
      <w:r>
        <w:t xml:space="preserve">Base model training using continual learning-enabled methodology</w:t>
      </w:r>
    </w:p>
    <w:p>
      <w:pPr>
        <w:pStyle w:val="ListParagraph"/>
        <w:numPr>
          <w:ilvl w:val="0"/>
          <w:numId w:val="1"/>
        </w:numPr>
        <w:spacing w:after="120"/>
      </w:pPr>
      <w:r>
        <w:t xml:space="preserve">Cost: Competitive with traditional training approaches</w:t>
      </w:r>
    </w:p>
    <w:p>
      <w:pPr>
        <w:pStyle w:val="ListParagraph"/>
        <w:numPr>
          <w:ilvl w:val="0"/>
          <w:numId w:val="1"/>
        </w:numPr>
        <w:spacing w:after="240"/>
      </w:pPr>
      <w:r>
        <w:t xml:space="preserve">Benefit: Foundation is set for safe future updates</w:t>
      </w:r>
    </w:p>
    <w:p>
      <w:pPr>
        <w:pStyle w:val="Heading3"/>
        <w:spacing w:before="180" w:after="120"/>
      </w:pPr>
      <w:r>
        <w:t xml:space="preserve">Phase 2: Capacity Assessment and Update Planning</w:t>
      </w:r>
    </w:p>
    <w:p>
      <w:pPr>
        <w:pStyle w:val="ListParagraph"/>
        <w:numPr>
          <w:ilvl w:val="0"/>
          <w:numId w:val="1"/>
        </w:numPr>
        <w:spacing w:after="120"/>
      </w:pPr>
      <w:r>
        <w:t xml:space="preserve">Diagnostic analysis before each planned update</w:t>
      </w:r>
    </w:p>
    <w:p>
      <w:pPr>
        <w:pStyle w:val="ListParagraph"/>
        <w:numPr>
          <w:ilvl w:val="0"/>
          <w:numId w:val="1"/>
        </w:numPr>
        <w:spacing w:after="120"/>
      </w:pPr>
      <w:r>
        <w:t xml:space="preserve">Determines if model has capacity for new training</w:t>
      </w:r>
    </w:p>
    <w:p>
      <w:pPr>
        <w:pStyle w:val="ListParagraph"/>
        <w:numPr>
          <w:ilvl w:val="0"/>
          <w:numId w:val="1"/>
        </w:numPr>
        <w:spacing w:after="120"/>
      </w:pPr>
      <w:r>
        <w:t xml:space="preserve">Predicts expected degradation patterns if training proceeds</w:t>
      </w:r>
    </w:p>
    <w:p>
      <w:pPr>
        <w:pStyle w:val="ListParagraph"/>
        <w:numPr>
          <w:ilvl w:val="0"/>
          <w:numId w:val="1"/>
        </w:numPr>
        <w:spacing w:after="240"/>
      </w:pPr>
      <w:r>
        <w:t xml:space="preserve">Cost: Minimal computational overhead (hours, not weeks)</w:t>
      </w:r>
    </w:p>
    <w:p>
      <w:pPr>
        <w:pStyle w:val="Heading3"/>
        <w:spacing w:before="180" w:after="120"/>
      </w:pPr>
      <w:r>
        <w:t xml:space="preserve">Phase 3: Safe Fine-Tuning</w:t>
      </w:r>
    </w:p>
    <w:p>
      <w:pPr>
        <w:pStyle w:val="ListParagraph"/>
        <w:numPr>
          <w:ilvl w:val="0"/>
          <w:numId w:val="1"/>
        </w:numPr>
        <w:spacing w:after="120"/>
      </w:pPr>
      <w:r>
        <w:t xml:space="preserve">New capabilities added using knowledge-preserving methodology</w:t>
      </w:r>
    </w:p>
    <w:p>
      <w:pPr>
        <w:pStyle w:val="ListParagraph"/>
        <w:numPr>
          <w:ilvl w:val="0"/>
          <w:numId w:val="1"/>
        </w:numPr>
        <w:spacing w:after="120"/>
      </w:pPr>
      <w:r>
        <w:t xml:space="preserve">No catastrophic forgetting occurs during training</w:t>
      </w:r>
    </w:p>
    <w:p>
      <w:pPr>
        <w:pStyle w:val="ListParagraph"/>
        <w:numPr>
          <w:ilvl w:val="0"/>
          <w:numId w:val="1"/>
        </w:numPr>
        <w:spacing w:after="120"/>
      </w:pPr>
      <w:r>
        <w:t xml:space="preserve">If degradation appears, it's known to be inference-level (reversible)</w:t>
      </w:r>
    </w:p>
    <w:p>
      <w:pPr>
        <w:pStyle w:val="ListParagraph"/>
        <w:numPr>
          <w:ilvl w:val="0"/>
          <w:numId w:val="1"/>
        </w:numPr>
        <w:spacing w:after="240"/>
      </w:pPr>
      <w:r>
        <w:t xml:space="preserve">Cost: Standard fine-tuning costs</w:t>
      </w:r>
    </w:p>
    <w:p>
      <w:pPr>
        <w:pStyle w:val="Heading3"/>
        <w:spacing w:before="180" w:after="120"/>
      </w:pPr>
      <w:r>
        <w:t xml:space="preserve">Phase 4: Targeted Intervention (If Needed)</w:t>
      </w:r>
    </w:p>
    <w:p>
      <w:pPr>
        <w:pStyle w:val="ListParagraph"/>
        <w:numPr>
          <w:ilvl w:val="0"/>
          <w:numId w:val="1"/>
        </w:numPr>
        <w:spacing w:after="120"/>
      </w:pPr>
      <w:r>
        <w:t xml:space="preserve">If inference misrouting or semantic boundary collapse detected</w:t>
      </w:r>
    </w:p>
    <w:p>
      <w:pPr>
        <w:pStyle w:val="ListParagraph"/>
        <w:numPr>
          <w:ilvl w:val="0"/>
          <w:numId w:val="1"/>
        </w:numPr>
        <w:spacing w:after="120"/>
      </w:pPr>
      <w:r>
        <w:t xml:space="preserve">Apply targeted recovery techniques</w:t>
      </w:r>
    </w:p>
    <w:p>
      <w:pPr>
        <w:pStyle w:val="ListParagraph"/>
        <w:numPr>
          <w:ilvl w:val="0"/>
          <w:numId w:val="1"/>
        </w:numPr>
        <w:spacing w:after="120"/>
      </w:pPr>
      <w:r>
        <w:t xml:space="preserve">Restore performance without base model retraining</w:t>
      </w:r>
    </w:p>
    <w:p>
      <w:pPr>
        <w:pStyle w:val="ListParagraph"/>
        <w:numPr>
          <w:ilvl w:val="0"/>
          <w:numId w:val="1"/>
        </w:numPr>
        <w:spacing w:after="240"/>
      </w:pPr>
      <w:r>
        <w:t xml:space="preserve">Cost: 5-10% of full retraining cost</w:t>
      </w:r>
    </w:p>
    <w:p>
      <w:pPr>
        <w:pStyle w:val="Heading3"/>
        <w:spacing w:before="180" w:after="120"/>
      </w:pPr>
      <w:r>
        <w:t xml:space="preserve">Phase 5: Continuous Evolution</w:t>
      </w:r>
    </w:p>
    <w:p>
      <w:pPr>
        <w:pStyle w:val="ListParagraph"/>
        <w:numPr>
          <w:ilvl w:val="0"/>
          <w:numId w:val="1"/>
        </w:numPr>
        <w:spacing w:after="120"/>
      </w:pPr>
      <w:r>
        <w:t xml:space="preserve">Model continues to evolve with new capabilities</w:t>
      </w:r>
    </w:p>
    <w:p>
      <w:pPr>
        <w:pStyle w:val="ListParagraph"/>
        <w:numPr>
          <w:ilvl w:val="0"/>
          <w:numId w:val="1"/>
        </w:numPr>
        <w:spacing w:after="120"/>
      </w:pPr>
      <w:r>
        <w:t xml:space="preserve">No expensive retraining cycles required</w:t>
      </w:r>
    </w:p>
    <w:p>
      <w:pPr>
        <w:pStyle w:val="ListParagraph"/>
        <w:numPr>
          <w:ilvl w:val="0"/>
          <w:numId w:val="1"/>
        </w:numPr>
        <w:spacing w:after="120"/>
      </w:pPr>
      <w:r>
        <w:t xml:space="preserve">Prior investment in model capabilities is preserved</w:t>
      </w:r>
    </w:p>
    <w:p>
      <w:pPr>
        <w:pStyle w:val="ListParagraph"/>
        <w:numPr>
          <w:ilvl w:val="0"/>
          <w:numId w:val="1"/>
        </w:numPr>
        <w:spacing w:after="240"/>
      </w:pPr>
      <w:r>
        <w:t xml:space="preserve">Total cost of ownership remains stable over model lifetime</w:t>
      </w:r>
    </w:p>
    <w:p>
      <w:pPr>
        <w:pStyle w:val="Heading2"/>
        <w:spacing w:before="240" w:after="180"/>
      </w:pPr>
      <w:r>
        <w:t xml:space="preserve">3.3 Three-Year Cost Projections with Continual Learning</w:t>
      </w:r>
    </w:p>
    <w:p>
      <w:pPr>
        <w:pStyle w:val="Heading3"/>
        <w:spacing w:before="180" w:after="120"/>
      </w:pPr>
      <w:r>
        <w:t xml:space="preserve">7B Parameter Model - Continual Learning Approach</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c>
          <w:tcPr>
            <w:tcW w:type="pct" w:w="40%"/>
            <w:shd w:fill="D3D3D3"/>
          </w:tcPr>
          <w:p>
            <w:pPr>
              <w:jc w:val="center"/>
            </w:pPr>
            <w:r>
              <w:t xml:space="preserve">Cost Component</w:t>
            </w:r>
          </w:p>
        </w:tc>
        <w:tc>
          <w:tcPr>
            <w:tcW w:type="pct" w:w="20%"/>
            <w:shd w:fill="D3D3D3"/>
          </w:tcPr>
          <w:p>
            <w:pPr>
              <w:jc w:val="center"/>
            </w:pPr>
            <w:r>
              <w:t xml:space="preserve">Year 1</w:t>
            </w:r>
          </w:p>
        </w:tc>
        <w:tc>
          <w:tcPr>
            <w:tcW w:type="pct" w:w="20%"/>
            <w:shd w:fill="D3D3D3"/>
          </w:tcPr>
          <w:p>
            <w:pPr>
              <w:jc w:val="center"/>
            </w:pPr>
            <w:r>
              <w:t xml:space="preserve">Year 2</w:t>
            </w:r>
          </w:p>
        </w:tc>
        <w:tc>
          <w:tcPr>
            <w:tcW w:type="pct" w:w="20%"/>
            <w:shd w:fill="D3D3D3"/>
          </w:tcPr>
          <w:p>
            <w:pPr>
              <w:jc w:val="center"/>
            </w:pPr>
            <w:r>
              <w:t xml:space="preserve">Year 3</w:t>
            </w:r>
          </w:p>
        </w:tc>
      </w:tr>
      <w:tr>
        <w:tc>
          <w:p>
            <w:r>
              <w:t xml:space="preserve">Initial Training</w:t>
            </w:r>
          </w:p>
        </w:tc>
        <w:tc>
          <w:p>
            <w:r>
              <w:t xml:space="preserve">$125K</w:t>
            </w:r>
          </w:p>
        </w:tc>
        <w:tc>
          <w:p>
            <w:r>
              <w:t xml:space="preserve">-</w:t>
            </w:r>
          </w:p>
        </w:tc>
        <w:tc>
          <w:p>
            <w:r>
              <w:t xml:space="preserve">-</w:t>
            </w:r>
          </w:p>
        </w:tc>
      </w:tr>
      <w:tr>
        <w:tc>
          <w:p>
            <w:r>
              <w:t xml:space="preserve">Capacity Assessments (4-5x/year)</w:t>
            </w:r>
          </w:p>
        </w:tc>
        <w:tc>
          <w:p>
            <w:r>
              <w:t xml:space="preserve">~$5K</w:t>
            </w:r>
          </w:p>
        </w:tc>
        <w:tc>
          <w:p>
            <w:r>
              <w:t xml:space="preserve">~$5K</w:t>
            </w:r>
          </w:p>
        </w:tc>
        <w:tc>
          <w:p>
            <w:r>
              <w:t xml:space="preserve">~$5K</w:t>
            </w:r>
          </w:p>
        </w:tc>
      </w:tr>
      <w:tr>
        <w:tc>
          <w:p>
            <w:r>
              <w:t xml:space="preserve">Safe Fine-Tuning Updates (4-5x/year)</w:t>
            </w:r>
          </w:p>
        </w:tc>
        <w:tc>
          <w:p>
            <w:r>
              <w:t xml:space="preserve">$40K</w:t>
            </w:r>
          </w:p>
        </w:tc>
        <w:tc>
          <w:p>
            <w:r>
              <w:t xml:space="preserve">$40K</w:t>
            </w:r>
          </w:p>
        </w:tc>
        <w:tc>
          <w:p>
            <w:r>
              <w:t xml:space="preserve">$40K</w:t>
            </w:r>
          </w:p>
        </w:tc>
      </w:tr>
      <w:tr>
        <w:tc>
          <w:p>
            <w:r>
              <w:t xml:space="preserve">Targeted Interventions (if needed, ~2x/year)</w:t>
            </w:r>
          </w:p>
        </w:tc>
        <w:tc>
          <w:p>
            <w:r>
              <w:t xml:space="preserve">$12.5K</w:t>
            </w:r>
          </w:p>
        </w:tc>
        <w:tc>
          <w:p>
            <w:r>
              <w:t xml:space="preserve">$12.5K</w:t>
            </w:r>
          </w:p>
        </w:tc>
        <w:tc>
          <w:p>
            <w:r>
              <w:t xml:space="preserve">$12.5K</w:t>
            </w:r>
          </w:p>
        </w:tc>
      </w:tr>
      <w:tr>
        <w:tc>
          <w:tcPr>
            <w:shd w:fill="F0F0F0"/>
          </w:tcPr>
          <w:p>
            <w:r>
              <w:t xml:space="preserve">Annual Total</w:t>
            </w:r>
          </w:p>
        </w:tc>
        <w:tc>
          <w:tcPr>
            <w:shd w:fill="F0F0F0"/>
          </w:tcPr>
          <w:p>
            <w:r>
              <w:t xml:space="preserve">$182.5K</w:t>
            </w:r>
          </w:p>
        </w:tc>
        <w:tc>
          <w:tcPr>
            <w:shd w:fill="F0F0F0"/>
          </w:tcPr>
          <w:p>
            <w:r>
              <w:t xml:space="preserve">$57.5K</w:t>
            </w:r>
          </w:p>
        </w:tc>
        <w:tc>
          <w:tcPr>
            <w:shd w:fill="F0F0F0"/>
          </w:tcPr>
          <w:p>
            <w:r>
              <w:t xml:space="preserve">$57.5K</w:t>
            </w:r>
          </w:p>
        </w:tc>
      </w:tr>
      <w:tr>
        <w:tc>
          <w:tcPr>
            <w:shd w:fill="E6FFE6"/>
          </w:tcPr>
          <w:p>
            <w:r>
              <w:t xml:space="preserve">3-Year Total Cost</w:t>
            </w:r>
          </w:p>
        </w:tc>
        <w:tc>
          <w:tcPr>
            <w:gridSpan w:val="3"/>
            <w:shd w:fill="E6FFE6"/>
          </w:tcPr>
          <w:p>
            <w:r>
              <w:t xml:space="preserve">$297.5K</w:t>
            </w:r>
          </w:p>
        </w:tc>
      </w:tr>
      <w:tr>
        <w:tc>
          <w:tcPr>
            <w:shd w:fill="FFFFCC"/>
          </w:tcPr>
          <w:p>
            <w:r>
              <w:t xml:space="preserve">Cost Savings vs Traditional</w:t>
            </w:r>
          </w:p>
        </w:tc>
        <w:tc>
          <w:tcPr>
            <w:gridSpan w:val="3"/>
            <w:shd w:fill="FFFFCC"/>
          </w:tcPr>
          <w:p>
            <w:r>
              <w:t xml:space="preserve">$577.5K (66%)</w:t>
            </w:r>
          </w:p>
        </w:tc>
      </w:tr>
    </w:tbl>
    <w:p>
      <w:pPr>
        <w:spacing w:after="240"/>
      </w:pPr>
    </w:p>
    <w:p>
      <w:pPr>
        <w:pStyle w:val="Heading3"/>
        <w:spacing w:before="180" w:after="120"/>
      </w:pPr>
      <w:r>
        <w:t xml:space="preserve">70B Parameter Model - Continual Learning Approach</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c>
          <w:tcPr>
            <w:tcW w:type="pct" w:w="40%"/>
            <w:shd w:fill="D3D3D3"/>
          </w:tcPr>
          <w:p>
            <w:pPr>
              <w:jc w:val="center"/>
            </w:pPr>
            <w:r>
              <w:t xml:space="preserve">Cost Component</w:t>
            </w:r>
          </w:p>
        </w:tc>
        <w:tc>
          <w:tcPr>
            <w:tcW w:type="pct" w:w="20%"/>
            <w:shd w:fill="D3D3D3"/>
          </w:tcPr>
          <w:p>
            <w:pPr>
              <w:jc w:val="center"/>
            </w:pPr>
            <w:r>
              <w:t xml:space="preserve">Year 1</w:t>
            </w:r>
          </w:p>
        </w:tc>
        <w:tc>
          <w:tcPr>
            <w:tcW w:type="pct" w:w="20%"/>
            <w:shd w:fill="D3D3D3"/>
          </w:tcPr>
          <w:p>
            <w:pPr>
              <w:jc w:val="center"/>
            </w:pPr>
            <w:r>
              <w:t xml:space="preserve">Year 2</w:t>
            </w:r>
          </w:p>
        </w:tc>
        <w:tc>
          <w:tcPr>
            <w:tcW w:type="pct" w:w="20%"/>
            <w:shd w:fill="D3D3D3"/>
          </w:tcPr>
          <w:p>
            <w:pPr>
              <w:jc w:val="center"/>
            </w:pPr>
            <w:r>
              <w:t xml:space="preserve">Year 3</w:t>
            </w:r>
          </w:p>
        </w:tc>
      </w:tr>
      <w:tr>
        <w:tc>
          <w:p>
            <w:r>
              <w:t xml:space="preserve">Initial Training</w:t>
            </w:r>
          </w:p>
        </w:tc>
        <w:tc>
          <w:p>
            <w:r>
              <w:t xml:space="preserve">$6M</w:t>
            </w:r>
          </w:p>
        </w:tc>
        <w:tc>
          <w:p>
            <w:r>
              <w:t xml:space="preserve">-</w:t>
            </w:r>
          </w:p>
        </w:tc>
        <w:tc>
          <w:p>
            <w:r>
              <w:t xml:space="preserve">-</w:t>
            </w:r>
          </w:p>
        </w:tc>
      </w:tr>
      <w:tr>
        <w:tc>
          <w:p>
            <w:r>
              <w:t xml:space="preserve">Capacity Assessments (4x/year)</w:t>
            </w:r>
          </w:p>
        </w:tc>
        <w:tc>
          <w:p>
            <w:r>
              <w:t xml:space="preserve">~$50K</w:t>
            </w:r>
          </w:p>
        </w:tc>
        <w:tc>
          <w:p>
            <w:r>
              <w:t xml:space="preserve">~$50K</w:t>
            </w:r>
          </w:p>
        </w:tc>
        <w:tc>
          <w:p>
            <w:r>
              <w:t xml:space="preserve">~$50K</w:t>
            </w:r>
          </w:p>
        </w:tc>
      </w:tr>
      <w:tr>
        <w:tc>
          <w:p>
            <w:r>
              <w:t xml:space="preserve">Safe Fine-Tuning Updates (4x/year)</w:t>
            </w:r>
          </w:p>
        </w:tc>
        <w:tc>
          <w:p>
            <w:r>
              <w:t xml:space="preserve">$800K</w:t>
            </w:r>
          </w:p>
        </w:tc>
        <w:tc>
          <w:p>
            <w:r>
              <w:t xml:space="preserve">$800K</w:t>
            </w:r>
          </w:p>
        </w:tc>
        <w:tc>
          <w:p>
            <w:r>
              <w:t xml:space="preserve">$800K</w:t>
            </w:r>
          </w:p>
        </w:tc>
      </w:tr>
      <w:tr>
        <w:tc>
          <w:p>
            <w:r>
              <w:t xml:space="preserve">Targeted Interventions (if needed, ~2x/year)</w:t>
            </w:r>
          </w:p>
        </w:tc>
        <w:tc>
          <w:p>
            <w:r>
              <w:t xml:space="preserve">$600K</w:t>
            </w:r>
          </w:p>
        </w:tc>
        <w:tc>
          <w:p>
            <w:r>
              <w:t xml:space="preserve">$600K</w:t>
            </w:r>
          </w:p>
        </w:tc>
        <w:tc>
          <w:p>
            <w:r>
              <w:t xml:space="preserve">$600K</w:t>
            </w:r>
          </w:p>
        </w:tc>
      </w:tr>
      <w:tr>
        <w:tc>
          <w:tcPr>
            <w:shd w:fill="F0F0F0"/>
          </w:tcPr>
          <w:p>
            <w:r>
              <w:t xml:space="preserve">Annual Total</w:t>
            </w:r>
          </w:p>
        </w:tc>
        <w:tc>
          <w:tcPr>
            <w:shd w:fill="F0F0F0"/>
          </w:tcPr>
          <w:p>
            <w:r>
              <w:t xml:space="preserve">$7.45M</w:t>
            </w:r>
          </w:p>
        </w:tc>
        <w:tc>
          <w:tcPr>
            <w:shd w:fill="F0F0F0"/>
          </w:tcPr>
          <w:p>
            <w:r>
              <w:t xml:space="preserve">$1.45M</w:t>
            </w:r>
          </w:p>
        </w:tc>
        <w:tc>
          <w:tcPr>
            <w:shd w:fill="F0F0F0"/>
          </w:tcPr>
          <w:p>
            <w:r>
              <w:t xml:space="preserve">$1.45M</w:t>
            </w:r>
          </w:p>
        </w:tc>
      </w:tr>
      <w:tr>
        <w:tc>
          <w:tcPr>
            <w:shd w:fill="E6FFE6"/>
          </w:tcPr>
          <w:p>
            <w:r>
              <w:t xml:space="preserve">3-Year Total Cost</w:t>
            </w:r>
          </w:p>
        </w:tc>
        <w:tc>
          <w:tcPr>
            <w:gridSpan w:val="3"/>
            <w:shd w:fill="E6FFE6"/>
          </w:tcPr>
          <w:p>
            <w:r>
              <w:t xml:space="preserve">$10.35M</w:t>
            </w:r>
          </w:p>
        </w:tc>
      </w:tr>
      <w:tr>
        <w:tc>
          <w:tcPr>
            <w:shd w:fill="FFFFCC"/>
          </w:tcPr>
          <w:p>
            <w:r>
              <w:t xml:space="preserve">Cost Savings vs Traditional</w:t>
            </w:r>
          </w:p>
        </w:tc>
        <w:tc>
          <w:tcPr>
            <w:gridSpan w:val="3"/>
            <w:shd w:fill="FFFFCC"/>
          </w:tcPr>
          <w:p>
            <w:r>
              <w:t xml:space="preserve">$31.65M (75%)</w:t>
            </w:r>
          </w:p>
        </w:tc>
      </w:tr>
    </w:tbl>
    <w:p>
      <w:pPr>
        <w:spacing w:after="240"/>
      </w:pPr>
    </w:p>
    <w:p>
      <w:pPr>
        <w:pStyle w:val="Heading3"/>
        <w:spacing w:before="180" w:after="120"/>
      </w:pPr>
      <w:r>
        <w:t xml:space="preserve">175B Parameter Model - Continual Learning Approach</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c>
          <w:tcPr>
            <w:tcW w:type="pct" w:w="40%"/>
            <w:shd w:fill="D3D3D3"/>
          </w:tcPr>
          <w:p>
            <w:pPr>
              <w:jc w:val="center"/>
            </w:pPr>
            <w:r>
              <w:t xml:space="preserve">Cost Component</w:t>
            </w:r>
          </w:p>
        </w:tc>
        <w:tc>
          <w:tcPr>
            <w:tcW w:type="pct" w:w="20%"/>
            <w:shd w:fill="D3D3D3"/>
          </w:tcPr>
          <w:p>
            <w:pPr>
              <w:jc w:val="center"/>
            </w:pPr>
            <w:r>
              <w:t xml:space="preserve">Year 1</w:t>
            </w:r>
          </w:p>
        </w:tc>
        <w:tc>
          <w:tcPr>
            <w:tcW w:type="pct" w:w="20%"/>
            <w:shd w:fill="D3D3D3"/>
          </w:tcPr>
          <w:p>
            <w:pPr>
              <w:jc w:val="center"/>
            </w:pPr>
            <w:r>
              <w:t xml:space="preserve">Year 2</w:t>
            </w:r>
          </w:p>
        </w:tc>
        <w:tc>
          <w:tcPr>
            <w:tcW w:type="pct" w:w="20%"/>
            <w:shd w:fill="D3D3D3"/>
          </w:tcPr>
          <w:p>
            <w:pPr>
              <w:jc w:val="center"/>
            </w:pPr>
            <w:r>
              <w:t xml:space="preserve">Year 3</w:t>
            </w:r>
          </w:p>
        </w:tc>
      </w:tr>
      <w:tr>
        <w:tc>
          <w:p>
            <w:r>
              <w:t xml:space="preserve">Initial Training</w:t>
            </w:r>
          </w:p>
        </w:tc>
        <w:tc>
          <w:p>
            <w:r>
              <w:t xml:space="preserve">$130M</w:t>
            </w:r>
          </w:p>
        </w:tc>
        <w:tc>
          <w:p>
            <w:r>
              <w:t xml:space="preserve">-</w:t>
            </w:r>
          </w:p>
        </w:tc>
        <w:tc>
          <w:p>
            <w:r>
              <w:t xml:space="preserve">-</w:t>
            </w:r>
          </w:p>
        </w:tc>
      </w:tr>
      <w:tr>
        <w:tc>
          <w:p>
            <w:r>
              <w:t xml:space="preserve">Capacity Assessments (3x/year)</w:t>
            </w:r>
          </w:p>
        </w:tc>
        <w:tc>
          <w:p>
            <w:r>
              <w:t xml:space="preserve">~$300K</w:t>
            </w:r>
          </w:p>
        </w:tc>
        <w:tc>
          <w:p>
            <w:r>
              <w:t xml:space="preserve">~$300K</w:t>
            </w:r>
          </w:p>
        </w:tc>
        <w:tc>
          <w:p>
            <w:r>
              <w:t xml:space="preserve">~$300K</w:t>
            </w:r>
          </w:p>
        </w:tc>
      </w:tr>
      <w:tr>
        <w:tc>
          <w:p>
            <w:r>
              <w:t xml:space="preserve">Safe Fine-Tuning Updates (3x/year)</w:t>
            </w:r>
          </w:p>
        </w:tc>
        <w:tc>
          <w:p>
            <w:r>
              <w:t xml:space="preserve">$7.8M</w:t>
            </w:r>
          </w:p>
        </w:tc>
        <w:tc>
          <w:p>
            <w:r>
              <w:t xml:space="preserve">$7.8M</w:t>
            </w:r>
          </w:p>
        </w:tc>
        <w:tc>
          <w:p>
            <w:r>
              <w:t xml:space="preserve">$7.8M</w:t>
            </w:r>
          </w:p>
        </w:tc>
      </w:tr>
      <w:tr>
        <w:tc>
          <w:p>
            <w:r>
              <w:t xml:space="preserve">Targeted Interventions (if needed, ~2x/year)</w:t>
            </w:r>
          </w:p>
        </w:tc>
        <w:tc>
          <w:p>
            <w:r>
              <w:t xml:space="preserve">$6.5M</w:t>
            </w:r>
          </w:p>
        </w:tc>
        <w:tc>
          <w:p>
            <w:r>
              <w:t xml:space="preserve">$6.5M</w:t>
            </w:r>
          </w:p>
        </w:tc>
        <w:tc>
          <w:p>
            <w:r>
              <w:t xml:space="preserve">$6.5M</w:t>
            </w:r>
          </w:p>
        </w:tc>
      </w:tr>
      <w:tr>
        <w:tc>
          <w:tcPr>
            <w:shd w:fill="F0F0F0"/>
          </w:tcPr>
          <w:p>
            <w:r>
              <w:t xml:space="preserve">Annual Total</w:t>
            </w:r>
          </w:p>
        </w:tc>
        <w:tc>
          <w:tcPr>
            <w:shd w:fill="F0F0F0"/>
          </w:tcPr>
          <w:p>
            <w:r>
              <w:t xml:space="preserve">$144.6M</w:t>
            </w:r>
          </w:p>
        </w:tc>
        <w:tc>
          <w:tcPr>
            <w:shd w:fill="F0F0F0"/>
          </w:tcPr>
          <w:p>
            <w:r>
              <w:t xml:space="preserve">$14.6M</w:t>
            </w:r>
          </w:p>
        </w:tc>
        <w:tc>
          <w:tcPr>
            <w:shd w:fill="F0F0F0"/>
          </w:tcPr>
          <w:p>
            <w:r>
              <w:t xml:space="preserve">$14.6M</w:t>
            </w:r>
          </w:p>
        </w:tc>
      </w:tr>
      <w:tr>
        <w:tc>
          <w:tcPr>
            <w:shd w:fill="E6FFE6"/>
          </w:tcPr>
          <w:p>
            <w:r>
              <w:t xml:space="preserve">3-Year Total Cost</w:t>
            </w:r>
          </w:p>
        </w:tc>
        <w:tc>
          <w:tcPr>
            <w:gridSpan w:val="3"/>
            <w:shd w:fill="E6FFE6"/>
          </w:tcPr>
          <w:p>
            <w:r>
              <w:t xml:space="preserve">$173.8M</w:t>
            </w:r>
          </w:p>
        </w:tc>
      </w:tr>
      <w:tr>
        <w:tc>
          <w:tcPr>
            <w:shd w:fill="FFFFCC"/>
          </w:tcPr>
          <w:p>
            <w:r>
              <w:t xml:space="preserve">Cost Savings vs Traditional</w:t>
            </w:r>
          </w:p>
        </w:tc>
        <w:tc>
          <w:tcPr>
            <w:gridSpan w:val="3"/>
            <w:shd w:fill="FFFFCC"/>
          </w:tcPr>
          <w:p>
            <w:r>
              <w:t xml:space="preserve">$541.2M (76%)</w:t>
            </w:r>
          </w:p>
        </w:tc>
      </w:tr>
    </w:tbl>
    <w:p>
      <w:pPr>
        <w:spacing w:after="400"/>
      </w:pPr>
    </w:p>
    <w:r>
      <w:br w:type="page"/>
    </w:r>
    <w:p>
      <w:pPr>
        <w:pStyle w:val="Heading1"/>
        <w:spacing w:before="400" w:after="240"/>
      </w:pPr>
      <w:r>
        <w:t xml:space="preserve">4. Side-by-Side Economic Comparison</w:t>
      </w:r>
    </w:p>
    <w:p>
      <w:pPr>
        <w:pStyle w:val="Heading2"/>
        <w:spacing w:before="240" w:after="180"/>
      </w:pPr>
      <w:r>
        <w:t xml:space="preserve">4.1 Summary Cost Comparison Across Model Scales</w:t>
      </w:r>
    </w:p>
    <w:tbl>
      <w:tblPr>
        <w:tblW w:type="pct" w:w="100%"/>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c>
          <w:tcPr>
            <w:tcW w:type="pct" w:w="20%"/>
            <w:shd w:fill="D3D3D3"/>
          </w:tcPr>
          <w:p>
            <w:pPr>
              <w:jc w:val="center"/>
            </w:pPr>
            <w:r>
              <w:t xml:space="preserve">Model Scale</w:t>
            </w:r>
          </w:p>
        </w:tc>
        <w:tc>
          <w:tcPr>
            <w:tcW w:type="pct" w:w="26%"/>
            <w:shd w:fill="D3D3D3"/>
          </w:tcPr>
          <w:p>
            <w:pPr>
              <w:jc w:val="center"/>
            </w:pPr>
            <w:r>
              <w:t xml:space="preserve">Traditional 3-Year Cost</w:t>
            </w:r>
          </w:p>
        </w:tc>
        <w:tc>
          <w:tcPr>
            <w:tcW w:type="pct" w:w="27%"/>
            <w:shd w:fill="D3D3D3"/>
          </w:tcPr>
          <w:p>
            <w:pPr>
              <w:jc w:val="center"/>
            </w:pPr>
            <w:r>
              <w:t xml:space="preserve">Continual Learning 3-Year Cost</w:t>
            </w:r>
          </w:p>
        </w:tc>
        <w:tc>
          <w:tcPr>
            <w:tcW w:type="pct" w:w="27%"/>
            <w:shd w:fill="D3D3D3"/>
          </w:tcPr>
          <w:p>
            <w:pPr>
              <w:jc w:val="center"/>
            </w:pPr>
            <w:r>
              <w:t xml:space="preserve">Total Savings</w:t>
            </w:r>
          </w:p>
        </w:tc>
      </w:tr>
      <w:tr>
        <w:tc>
          <w:p>
            <w:r>
              <w:t xml:space="preserve">7B Model</w:t>
            </w:r>
          </w:p>
        </w:tc>
        <w:tc>
          <w:p>
            <w:r>
              <w:t xml:space="preserve">$875K</w:t>
            </w:r>
          </w:p>
        </w:tc>
        <w:tc>
          <w:p>
            <w:r>
              <w:t xml:space="preserve">$297.5K</w:t>
            </w:r>
          </w:p>
        </w:tc>
        <w:tc>
          <w:tcPr>
            <w:shd w:fill="E6FFE6"/>
          </w:tcPr>
          <w:p>
            <w:r>
              <w:t xml:space="preserve">$577.5K (66%)</w:t>
            </w:r>
          </w:p>
        </w:tc>
      </w:tr>
      <w:tr>
        <w:tc>
          <w:p>
            <w:r>
              <w:t xml:space="preserve">70B Model</w:t>
            </w:r>
          </w:p>
        </w:tc>
        <w:tc>
          <w:p>
            <w:r>
              <w:t xml:space="preserve">$42M</w:t>
            </w:r>
          </w:p>
        </w:tc>
        <w:tc>
          <w:p>
            <w:r>
              <w:t xml:space="preserve">$10.35M</w:t>
            </w:r>
          </w:p>
        </w:tc>
        <w:tc>
          <w:tcPr>
            <w:shd w:fill="E6FFE6"/>
          </w:tcPr>
          <w:p>
            <w:r>
              <w:t xml:space="preserve">$31.65M (75%)</w:t>
            </w:r>
          </w:p>
        </w:tc>
      </w:tr>
      <w:tr>
        <w:tc>
          <w:p>
            <w:r>
              <w:t xml:space="preserve">175B Model</w:t>
            </w:r>
          </w:p>
        </w:tc>
        <w:tc>
          <w:p>
            <w:r>
              <w:t xml:space="preserve">$715M</w:t>
            </w:r>
          </w:p>
        </w:tc>
        <w:tc>
          <w:p>
            <w:r>
              <w:t xml:space="preserve">$173.8M</w:t>
            </w:r>
          </w:p>
        </w:tc>
        <w:tc>
          <w:tcPr>
            <w:shd w:fill="E6FFE6"/>
          </w:tcPr>
          <w:p>
            <w:r>
              <w:t xml:space="preserve">$541.2M (76%)</w:t>
            </w:r>
          </w:p>
        </w:tc>
      </w:tr>
    </w:tbl>
    <w:p>
      <w:pPr>
        <w:spacing w:after="240"/>
      </w:pPr>
    </w:p>
    <w:p>
      <w:pPr>
        <w:pStyle w:val="Heading2"/>
        <w:spacing w:before="240" w:after="180"/>
      </w:pPr>
      <w:r>
        <w:t xml:space="preserve">4.2 Key Economic Insights</w:t>
      </w:r>
    </w:p>
    <w:p>
      <w:pPr>
        <w:pStyle w:val="Heading3"/>
        <w:spacing w:before="180" w:after="120"/>
      </w:pPr>
      <w:r>
        <w:t xml:space="preserve">Savings Scale with Model Size</w:t>
      </w:r>
    </w:p>
    <w:p>
      <w:pPr>
        <w:spacing w:after="240"/>
      </w:pPr>
      <w:r>
        <w:t xml:space="preserve">While percentage savings are similar across scales (66-76%), absolute dollar savings increase dramatically with model size. A 175B model saves over half a billion dollars in just three years.</w:t>
      </w:r>
    </w:p>
    <w:p>
      <w:pPr>
        <w:pStyle w:val="Heading3"/>
        <w:spacing w:before="180" w:after="120"/>
      </w:pPr>
      <w:r>
        <w:t xml:space="preserve">Majority of Costs Are Retraining</w:t>
      </w:r>
    </w:p>
    <w:p>
      <w:pPr>
        <w:spacing w:after="240"/>
      </w:pPr>
      <w:r>
        <w:t xml:space="preserve">In traditional approaches, 70-85% of total costs over a model's lifetime come from retraining cycles, not initial training. Continual learning eliminates this recurring expense.</w:t>
      </w:r>
    </w:p>
    <w:p>
      <w:pPr>
        <w:pStyle w:val="Heading3"/>
        <w:spacing w:before="180" w:after="120"/>
      </w:pPr>
      <w:r>
        <w:t xml:space="preserve">Longer Timeframes Amplify Savings</w:t>
      </w:r>
    </w:p>
    <w:p>
      <w:pPr>
        <w:spacing w:after="240"/>
      </w:pPr>
      <w:r>
        <w:t xml:space="preserve">These projections use only 3 years. Organizations maintaining models for 5+ years would see proportionally greater savings as traditional costs continue accumulating while continual learning costs remain stable.</w:t>
      </w:r>
    </w:p>
    <w:p>
      <w:pPr>
        <w:pStyle w:val="Heading3"/>
        <w:spacing w:before="180" w:after="120"/>
      </w:pPr>
      <w:r>
        <w:t xml:space="preserve">Conservative Assumptions</w:t>
      </w:r>
    </w:p>
    <w:p>
      <w:pPr>
        <w:spacing w:after="180"/>
      </w:pPr>
      <w:r>
        <w:t xml:space="preserve">These calculations assume:</w:t>
      </w:r>
    </w:p>
    <w:p>
      <w:pPr>
        <w:pStyle w:val="ListParagraph"/>
        <w:numPr>
          <w:ilvl w:val="0"/>
          <w:numId w:val="1"/>
        </w:numPr>
        <w:spacing w:after="120"/>
      </w:pPr>
      <w:r>
        <w:t xml:space="preserve">Traditional approach uses continual pre-training (50% cost reduction vs. full retraining)</w:t>
      </w:r>
    </w:p>
    <w:p>
      <w:pPr>
        <w:pStyle w:val="ListParagraph"/>
        <w:numPr>
          <w:ilvl w:val="0"/>
          <w:numId w:val="1"/>
        </w:numPr>
        <w:spacing w:after="120"/>
      </w:pPr>
      <w:r>
        <w:t xml:space="preserve">Only 2 targeted interventions needed per year (conservative estimate)</w:t>
      </w:r>
    </w:p>
    <w:p>
      <w:pPr>
        <w:pStyle w:val="ListParagraph"/>
        <w:numPr>
          <w:ilvl w:val="0"/>
          <w:numId w:val="1"/>
        </w:numPr>
        <w:spacing w:after="240"/>
      </w:pPr>
      <w:r>
        <w:t xml:space="preserve">No cost escalation over time due to model growth</w:t>
      </w:r>
    </w:p>
    <w:p>
      <w:pPr>
        <w:spacing w:after="400"/>
      </w:pPr>
      <w:r>
        <w:t xml:space="preserve">Actual savings in practice are likely higher, especially for organizations currently using full retraining rather than continual pre-training.</w:t>
      </w:r>
    </w:p>
    <w:p>
      <w:pPr>
        <w:pStyle w:val="Heading1"/>
        <w:spacing w:before="400" w:after="240"/>
      </w:pPr>
      <w:r>
        <w:t xml:space="preserve">5. Beyond Direct Cost Savings: Additional Value Propositions</w:t>
      </w:r>
    </w:p>
    <w:p>
      <w:pPr>
        <w:pStyle w:val="Heading2"/>
        <w:spacing w:before="240" w:after="180"/>
      </w:pPr>
      <w:r>
        <w:t xml:space="preserve">5.1 Faster Update Velocity</w:t>
      </w:r>
    </w:p>
    <w:p>
      <w:pPr>
        <w:pStyle w:val="ListParagraph"/>
        <w:numPr>
          <w:ilvl w:val="0"/>
          <w:numId w:val="1"/>
        </w:numPr>
        <w:spacing w:after="120"/>
      </w:pPr>
      <w:r>
        <w:t xml:space="preserve">Traditional Approach:</w:t>
      </w:r>
    </w:p>
    <w:p>
      <w:pPr>
        <w:pStyle w:val="ListParagraph"/>
        <w:numPr>
          <w:ilvl w:val="1"/>
          <w:numId w:val="1"/>
        </w:numPr>
        <w:spacing w:after="120"/>
      </w:pPr>
      <w:r>
        <w:t xml:space="preserve">Degradation detected → weeks to plan retraining → weeks to execute → weeks to validate → 4-12 week total cycle</w:t>
      </w:r>
    </w:p>
    <w:p>
      <w:pPr>
        <w:pStyle w:val="ListParagraph"/>
        <w:numPr>
          <w:ilvl w:val="1"/>
          <w:numId w:val="1"/>
        </w:numPr>
        <w:spacing w:after="240"/>
      </w:pPr>
      <w:r>
        <w:t xml:space="preserve">Update frequency limited by retraining capacity and cost</w:t>
      </w:r>
    </w:p>
    <w:p>
      <w:pPr>
        <w:pStyle w:val="ListParagraph"/>
        <w:numPr>
          <w:ilvl w:val="0"/>
          <w:numId w:val="1"/>
        </w:numPr>
        <w:spacing w:after="120"/>
      </w:pPr>
      <w:r>
        <w:t xml:space="preserve">Continual Learning Approach:</w:t>
      </w:r>
    </w:p>
    <w:p>
      <w:pPr>
        <w:pStyle w:val="ListParagraph"/>
        <w:numPr>
          <w:ilvl w:val="1"/>
          <w:numId w:val="1"/>
        </w:numPr>
        <w:spacing w:after="120"/>
      </w:pPr>
      <w:r>
        <w:t xml:space="preserve">Capacity assessment → safe update → validation → 2-7 day cycle</w:t>
      </w:r>
    </w:p>
    <w:p>
      <w:pPr>
        <w:pStyle w:val="ListParagraph"/>
        <w:numPr>
          <w:ilvl w:val="1"/>
          <w:numId w:val="1"/>
        </w:numPr>
        <w:spacing w:after="120"/>
      </w:pPr>
      <w:r>
        <w:t xml:space="preserve">If intervention needed → targeted recovery → 3-5 days additional</w:t>
      </w:r>
    </w:p>
    <w:p>
      <w:pPr>
        <w:pStyle w:val="ListParagraph"/>
        <w:numPr>
          <w:ilvl w:val="1"/>
          <w:numId w:val="1"/>
        </w:numPr>
        <w:spacing w:after="240"/>
      </w:pPr>
      <w:r>
        <w:t xml:space="preserve">Organizations can iterate 5-10x faster, critical for competitive advantage</w:t>
      </w:r>
    </w:p>
    <w:p>
      <w:pPr>
        <w:pStyle w:val="Heading2"/>
        <w:spacing w:before="240" w:after="180"/>
      </w:pPr>
      <w:r>
        <w:t xml:space="preserve">5.2 Reduced Risk and Uncertainty</w:t>
      </w:r>
    </w:p>
    <w:p>
      <w:pPr>
        <w:pStyle w:val="ListParagraph"/>
        <w:numPr>
          <w:ilvl w:val="0"/>
          <w:numId w:val="1"/>
        </w:numPr>
        <w:spacing w:after="120"/>
      </w:pPr>
      <w:r>
        <w:t xml:space="preserve">Traditional Approach Risks:</w:t>
      </w:r>
    </w:p>
    <w:p>
      <w:pPr>
        <w:pStyle w:val="ListParagraph"/>
        <w:numPr>
          <w:ilvl w:val="1"/>
          <w:numId w:val="1"/>
        </w:numPr>
        <w:spacing w:after="120"/>
      </w:pPr>
      <w:r>
        <w:t xml:space="preserve">Uncertain whether degradation is reversible or permanent</w:t>
      </w:r>
    </w:p>
    <w:p>
      <w:pPr>
        <w:pStyle w:val="ListParagraph"/>
        <w:numPr>
          <w:ilvl w:val="1"/>
          <w:numId w:val="1"/>
        </w:numPr>
        <w:spacing w:after="120"/>
      </w:pPr>
      <w:r>
        <w:t xml:space="preserve">Must assume worst case and retrain to be safe</w:t>
      </w:r>
    </w:p>
    <w:p>
      <w:pPr>
        <w:pStyle w:val="ListParagraph"/>
        <w:numPr>
          <w:ilvl w:val="1"/>
          <w:numId w:val="1"/>
        </w:numPr>
        <w:spacing w:after="120"/>
      </w:pPr>
      <w:r>
        <w:t xml:space="preserve">Regressions often discovered only after deployment</w:t>
      </w:r>
    </w:p>
    <w:p>
      <w:pPr>
        <w:pStyle w:val="ListParagraph"/>
        <w:numPr>
          <w:ilvl w:val="1"/>
          <w:numId w:val="1"/>
        </w:numPr>
        <w:spacing w:after="240"/>
      </w:pPr>
      <w:r>
        <w:t xml:space="preserve">Difficult to prove continuity of capabilities for compliance</w:t>
      </w:r>
    </w:p>
    <w:p>
      <w:pPr>
        <w:pStyle w:val="ListParagraph"/>
        <w:numPr>
          <w:ilvl w:val="0"/>
          <w:numId w:val="1"/>
        </w:numPr>
        <w:spacing w:after="120"/>
      </w:pPr>
      <w:r>
        <w:t xml:space="preserve">Continual Learning Risk Management:</w:t>
      </w:r>
    </w:p>
    <w:p>
      <w:pPr>
        <w:pStyle w:val="ListParagraph"/>
        <w:numPr>
          <w:ilvl w:val="1"/>
          <w:numId w:val="1"/>
        </w:numPr>
        <w:spacing w:after="120"/>
      </w:pPr>
      <w:r>
        <w:t xml:space="preserve">Predictive diagnostics show risk before training</w:t>
      </w:r>
    </w:p>
    <w:p>
      <w:pPr>
        <w:pStyle w:val="ListParagraph"/>
        <w:numPr>
          <w:ilvl w:val="1"/>
          <w:numId w:val="1"/>
        </w:numPr>
        <w:spacing w:after="120"/>
      </w:pPr>
      <w:r>
        <w:t xml:space="preserve">Knowledge preservation guaranteed by methodology</w:t>
      </w:r>
    </w:p>
    <w:p>
      <w:pPr>
        <w:pStyle w:val="ListParagraph"/>
        <w:numPr>
          <w:ilvl w:val="1"/>
          <w:numId w:val="1"/>
        </w:numPr>
        <w:spacing w:after="120"/>
      </w:pPr>
      <w:r>
        <w:t xml:space="preserve">Early detection of inference-level issues</w:t>
      </w:r>
    </w:p>
    <w:p>
      <w:pPr>
        <w:pStyle w:val="ListParagraph"/>
        <w:numPr>
          <w:ilvl w:val="1"/>
          <w:numId w:val="1"/>
        </w:numPr>
        <w:spacing w:after="240"/>
      </w:pPr>
      <w:r>
        <w:t xml:space="preserve">Can verify capability continuity for regulatory compliance</w:t>
      </w:r>
    </w:p>
    <w:p>
      <w:pPr>
        <w:pStyle w:val="Heading2"/>
        <w:spacing w:before="240" w:after="180"/>
      </w:pPr>
      <w:r>
        <w:t xml:space="preserve">5.3 Extended Model Lifespan and Asset Value</w:t>
      </w:r>
    </w:p>
    <w:p>
      <w:pPr>
        <w:spacing w:after="180"/>
      </w:pPr>
      <w:r>
        <w:t xml:space="preserve">Traditional Model Economics:</w:t>
      </w:r>
    </w:p>
    <w:p>
      <w:pPr>
        <w:pStyle w:val="ListParagraph"/>
        <w:numPr>
          <w:ilvl w:val="0"/>
          <w:numId w:val="1"/>
        </w:numPr>
        <w:spacing w:after="120"/>
      </w:pPr>
      <w:r>
        <w:t xml:space="preserve">Models treated as depreciating assets</w:t>
      </w:r>
    </w:p>
    <w:p>
      <w:pPr>
        <w:pStyle w:val="ListParagraph"/>
        <w:numPr>
          <w:ilvl w:val="0"/>
          <w:numId w:val="1"/>
        </w:numPr>
        <w:spacing w:after="120"/>
      </w:pPr>
      <w:r>
        <w:t xml:space="preserve">Each update risks destroying prior investment</w:t>
      </w:r>
    </w:p>
    <w:p>
      <w:pPr>
        <w:pStyle w:val="ListParagraph"/>
        <w:numPr>
          <w:ilvl w:val="0"/>
          <w:numId w:val="1"/>
        </w:numPr>
        <w:spacing w:after="120"/>
      </w:pPr>
      <w:r>
        <w:t xml:space="preserve">Organizations often replace rather than evolve models</w:t>
      </w:r>
    </w:p>
    <w:p>
      <w:pPr>
        <w:pStyle w:val="ListParagraph"/>
        <w:numPr>
          <w:ilvl w:val="0"/>
          <w:numId w:val="1"/>
        </w:numPr>
        <w:spacing w:after="240"/>
      </w:pPr>
      <w:r>
        <w:t xml:space="preserve">Value decays over time due to update constraints</w:t>
      </w:r>
    </w:p>
    <w:p>
      <w:pPr>
        <w:spacing w:after="180"/>
      </w:pPr>
      <w:r>
        <w:t xml:space="preserve">Continual Learning Model Economics:</w:t>
      </w:r>
    </w:p>
    <w:p>
      <w:pPr>
        <w:pStyle w:val="ListParagraph"/>
        <w:numPr>
          <w:ilvl w:val="0"/>
          <w:numId w:val="1"/>
        </w:numPr>
        <w:spacing w:after="120"/>
      </w:pPr>
      <w:r>
        <w:t xml:space="preserve">Models treated as evolving systems</w:t>
      </w:r>
    </w:p>
    <w:p>
      <w:pPr>
        <w:pStyle w:val="ListParagraph"/>
        <w:numPr>
          <w:ilvl w:val="0"/>
          <w:numId w:val="1"/>
        </w:numPr>
        <w:spacing w:after="120"/>
      </w:pPr>
      <w:r>
        <w:t xml:space="preserve">Each update adds capability without destroying prior work</w:t>
      </w:r>
    </w:p>
    <w:p>
      <w:pPr>
        <w:pStyle w:val="ListParagraph"/>
        <w:numPr>
          <w:ilvl w:val="0"/>
          <w:numId w:val="1"/>
        </w:numPr>
        <w:spacing w:after="120"/>
      </w:pPr>
      <w:r>
        <w:t xml:space="preserve">Value compounds over model lifetime</w:t>
      </w:r>
    </w:p>
    <w:p>
      <w:pPr>
        <w:pStyle w:val="ListParagraph"/>
        <w:numPr>
          <w:ilvl w:val="0"/>
          <w:numId w:val="1"/>
        </w:numPr>
        <w:spacing w:after="240"/>
      </w:pPr>
      <w:r>
        <w:t xml:space="preserve">Single model can serve organization for 5-10+ years</w:t>
      </w:r>
    </w:p>
    <w:p>
      <w:pPr>
        <w:pStyle w:val="Heading2"/>
        <w:spacing w:before="240" w:after="180"/>
      </w:pPr>
      <w:r>
        <w:t xml:space="preserve">5.4 Competitive and Strategic Advantages</w:t>
      </w:r>
    </w:p>
    <w:p>
      <w:pPr>
        <w:pStyle w:val="ListParagraph"/>
        <w:numPr>
          <w:ilvl w:val="0"/>
          <w:numId w:val="1"/>
        </w:numPr>
        <w:spacing w:after="120"/>
      </w:pPr>
      <w:r>
        <w:t xml:space="preserve">Market Responsiveness: Adapt to market changes in days rather than months</w:t>
      </w:r>
    </w:p>
    <w:p>
      <w:pPr>
        <w:pStyle w:val="ListParagraph"/>
        <w:numPr>
          <w:ilvl w:val="0"/>
          <w:numId w:val="1"/>
        </w:numPr>
        <w:spacing w:after="120"/>
      </w:pPr>
      <w:r>
        <w:t xml:space="preserve">Resource Allocation: Redirect millions from retraining to R&amp;D, customer acquisition, or profit</w:t>
      </w:r>
    </w:p>
    <w:p>
      <w:pPr>
        <w:pStyle w:val="ListParagraph"/>
        <w:numPr>
          <w:ilvl w:val="0"/>
          <w:numId w:val="1"/>
        </w:numPr>
        <w:spacing w:after="120"/>
      </w:pPr>
      <w:r>
        <w:t xml:space="preserve">Regulatory Compliance: Easier to meet requirements for demonstrating capability continuity</w:t>
      </w:r>
    </w:p>
    <w:p>
      <w:pPr>
        <w:pStyle w:val="ListParagraph"/>
        <w:numPr>
          <w:ilvl w:val="0"/>
          <w:numId w:val="1"/>
        </w:numPr>
        <w:spacing w:after="400"/>
      </w:pPr>
      <w:r>
        <w:t xml:space="preserve">Organizational Learning: Build institutional knowledge about model behavior rather than treating each cycle as black box</w:t>
      </w:r>
    </w:p>
    <w:r>
      <w:br w:type="page"/>
    </w:r>
    <w:p>
      <w:pPr>
        <w:pStyle w:val="Heading1"/>
        <w:spacing w:before="400" w:after="240"/>
      </w:pPr>
      <w:r>
        <w:t xml:space="preserve">6. Market Context and Industry Trends</w:t>
      </w:r>
    </w:p>
    <w:p>
      <w:pPr>
        <w:pStyle w:val="Heading2"/>
        <w:spacing w:before="240" w:after="180"/>
      </w:pPr>
      <w:r>
        <w:t xml:space="preserve">6.1 Escalating Industry Costs</w:t>
      </w:r>
    </w:p>
    <w:p>
      <w:pPr>
        <w:pStyle w:val="ListParagraph"/>
        <w:numPr>
          <w:ilvl w:val="0"/>
          <w:numId w:val="1"/>
        </w:numPr>
        <w:spacing w:after="120"/>
      </w:pPr>
      <w:r>
        <w:t xml:space="preserve">Training costs growing at 3x per year since 2020 (43-fold increase over four years)</w:t>
      </w:r>
    </w:p>
    <w:p>
      <w:pPr>
        <w:pStyle w:val="ListParagraph"/>
        <w:numPr>
          <w:ilvl w:val="0"/>
          <w:numId w:val="1"/>
        </w:numPr>
        <w:spacing w:after="120"/>
      </w:pPr>
      <w:r>
        <w:t xml:space="preserve">Model sizes increasing: 175B → 671B → approaching trillion-parameter models</w:t>
      </w:r>
    </w:p>
    <w:p>
      <w:pPr>
        <w:pStyle w:val="ListParagraph"/>
        <w:numPr>
          <w:ilvl w:val="0"/>
          <w:numId w:val="1"/>
        </w:numPr>
        <w:spacing w:after="120"/>
      </w:pPr>
      <w:r>
        <w:t xml:space="preserve">Industry analysts predict single model training costs reaching $1B by 2027, $100B by 2030</w:t>
      </w:r>
    </w:p>
    <w:p>
      <w:pPr>
        <w:pStyle w:val="ListParagraph"/>
        <w:numPr>
          <w:ilvl w:val="0"/>
          <w:numId w:val="1"/>
        </w:numPr>
        <w:spacing w:after="240"/>
      </w:pPr>
      <w:r>
        <w:t xml:space="preserve">Current trajectory economically unsustainable without fundamental efficiency improvements</w:t>
      </w:r>
    </w:p>
    <w:p>
      <w:pPr>
        <w:pStyle w:val="Heading2"/>
        <w:spacing w:before="240" w:after="180"/>
      </w:pPr>
      <w:r>
        <w:t xml:space="preserve">6.2 Increasing Update Frequency Requirements</w:t>
      </w:r>
    </w:p>
    <w:p>
      <w:pPr>
        <w:pStyle w:val="ListParagraph"/>
        <w:numPr>
          <w:ilvl w:val="0"/>
          <w:numId w:val="1"/>
        </w:numPr>
        <w:spacing w:after="120"/>
      </w:pPr>
      <w:r>
        <w:t xml:space="preserve">Business environments evolve faster than quarterly retraining cycles</w:t>
      </w:r>
    </w:p>
    <w:p>
      <w:pPr>
        <w:pStyle w:val="ListParagraph"/>
        <w:numPr>
          <w:ilvl w:val="0"/>
          <w:numId w:val="1"/>
        </w:numPr>
        <w:spacing w:after="120"/>
      </w:pPr>
      <w:r>
        <w:t xml:space="preserve">Regulatory changes (especially in finance, healthcare, legal) require rapid model updates</w:t>
      </w:r>
    </w:p>
    <w:p>
      <w:pPr>
        <w:pStyle w:val="ListParagraph"/>
        <w:numPr>
          <w:ilvl w:val="0"/>
          <w:numId w:val="1"/>
        </w:numPr>
        <w:spacing w:after="120"/>
      </w:pPr>
      <w:r>
        <w:t xml:space="preserve">Customer expectations for accuracy and currency rising continuously</w:t>
      </w:r>
    </w:p>
    <w:p>
      <w:pPr>
        <w:pStyle w:val="ListParagraph"/>
        <w:numPr>
          <w:ilvl w:val="0"/>
          <w:numId w:val="1"/>
        </w:numPr>
        <w:spacing w:after="240"/>
      </w:pPr>
      <w:r>
        <w:t xml:space="preserve">Competitive pressure demanding monthly or even weekly model improvements</w:t>
      </w:r>
    </w:p>
    <w:p>
      <w:pPr>
        <w:pStyle w:val="ListParagraph"/>
        <w:numPr>
          <w:ilvl w:val="0"/>
          <w:numId w:val="1"/>
        </w:numPr>
        <w:spacing w:after="240"/>
      </w:pPr>
      <w:r>
        <w:t xml:space="preserve">Traditional retraining cadence increasingly inadequate for business needs</w:t>
      </w:r>
    </w:p>
    <w:p>
      <w:pPr>
        <w:pStyle w:val="Heading2"/>
        <w:spacing w:before="240" w:after="180"/>
      </w:pPr>
      <w:r>
        <w:t xml:space="preserve">6.3 The Unsustainable Status Quo</w:t>
      </w:r>
    </w:p>
    <w:p>
      <w:pPr>
        <w:spacing w:after="180"/>
      </w:pPr>
      <w:r>
        <w:t xml:space="preserve">Organizations face impossible tradeoffs:</w:t>
      </w:r>
    </w:p>
    <w:p>
      <w:pPr>
        <w:pStyle w:val="ListParagraph"/>
        <w:numPr>
          <w:ilvl w:val="0"/>
          <w:numId w:val="1"/>
        </w:numPr>
        <w:spacing w:after="120"/>
      </w:pPr>
      <w:r>
        <w:t xml:space="preserve">Update frequently → unsustainable costs</w:t>
      </w:r>
    </w:p>
    <w:p>
      <w:pPr>
        <w:pStyle w:val="ListParagraph"/>
        <w:numPr>
          <w:ilvl w:val="0"/>
          <w:numId w:val="1"/>
        </w:numPr>
        <w:spacing w:after="120"/>
      </w:pPr>
      <w:r>
        <w:t xml:space="preserve">Update infrequently → model becomes stale, competitive disadvantage</w:t>
      </w:r>
    </w:p>
    <w:p>
      <w:pPr>
        <w:pStyle w:val="ListParagraph"/>
        <w:numPr>
          <w:ilvl w:val="0"/>
          <w:numId w:val="1"/>
        </w:numPr>
        <w:spacing w:after="120"/>
      </w:pPr>
      <w:r>
        <w:t xml:space="preserve">Accept degradation → compromised capabilities, customer dissatisfaction</w:t>
      </w:r>
    </w:p>
    <w:p>
      <w:pPr>
        <w:pStyle w:val="ListParagraph"/>
        <w:numPr>
          <w:ilvl w:val="0"/>
          <w:numId w:val="1"/>
        </w:numPr>
        <w:spacing w:after="240"/>
      </w:pPr>
      <w:r>
        <w:t xml:space="preserve">Use mitigation strategies → limited adaptability, marginal improvements</w:t>
      </w:r>
    </w:p>
    <w:p>
      <w:pPr>
        <w:spacing w:after="400"/>
      </w:pPr>
      <w:r>
        <w:t xml:space="preserve">Continual learning represents the only sustainable path forward as model scales and update requirements continue increasing.</w:t>
      </w:r>
    </w:p>
    <w:p>
      <w:pPr>
        <w:pStyle w:val="Heading1"/>
        <w:spacing w:before="400" w:after="240"/>
      </w:pPr>
      <w:r>
        <w:t xml:space="preserve">7. Conclusion: The Economic Case for Continual Learning</w:t>
      </w:r>
    </w:p>
    <w:p>
      <w:pPr>
        <w:spacing w:after="240"/>
      </w:pPr>
      <w:r>
        <w:t xml:space="preserve">The evidence is clear: traditional approaches to LLM training and maintenance are economically unsustainable. Organizations spend 70-85% of their model lifecycle costs on retraining—expenses driven by the false assumption that all degradation represents irreversible knowledge loss.</w:t>
      </w:r>
    </w:p>
    <w:p>
      <w:pPr>
        <w:spacing w:after="240"/>
      </w:pPr>
      <w:r>
        <w:t xml:space="preserve">Research demonstrates that 70-90% of observed degradation stems from inference-level failures rather than destroyed knowledge. This insight enables training methodologies that prevent catastrophic forgetting, eliminating the need for expensive retraining cycles.</w:t>
      </w:r>
    </w:p>
    <w:p>
      <w:pPr>
        <w:spacing w:before="180" w:after="120"/>
      </w:pPr>
      <w:r>
        <w:t xml:space="preserve">The Economic Impact:</w:t>
      </w:r>
    </w:p>
    <w:p>
      <w:pPr>
        <w:pStyle w:val="ListParagraph"/>
        <w:numPr>
          <w:ilvl w:val="0"/>
          <w:numId w:val="1"/>
        </w:numPr>
        <w:spacing w:after="120"/>
      </w:pPr>
      <w:r>
        <w:t xml:space="preserve">3-year cost savings: $577.5K (7B), $31.65M (70B), $541.2M (175B)</w:t>
      </w:r>
    </w:p>
    <w:p>
      <w:pPr>
        <w:pStyle w:val="ListParagraph"/>
        <w:numPr>
          <w:ilvl w:val="0"/>
          <w:numId w:val="1"/>
        </w:numPr>
        <w:spacing w:after="120"/>
      </w:pPr>
      <w:r>
        <w:t xml:space="preserve">66-76% reduction in total cost of ownership</w:t>
      </w:r>
    </w:p>
    <w:p>
      <w:pPr>
        <w:pStyle w:val="ListParagraph"/>
        <w:numPr>
          <w:ilvl w:val="0"/>
          <w:numId w:val="1"/>
        </w:numPr>
        <w:spacing w:after="120"/>
      </w:pPr>
      <w:r>
        <w:t xml:space="preserve">5-10x faster update velocity enabling competitive advantage</w:t>
      </w:r>
    </w:p>
    <w:p>
      <w:pPr>
        <w:pStyle w:val="ListParagraph"/>
        <w:numPr>
          <w:ilvl w:val="0"/>
          <w:numId w:val="1"/>
        </w:numPr>
        <w:spacing w:after="240"/>
      </w:pPr>
      <w:r>
        <w:t xml:space="preserve">Elimination of uncertainty about knowledge preservation</w:t>
      </w:r>
    </w:p>
    <w:p>
      <w:pPr>
        <w:spacing w:after="180"/>
      </w:pPr>
      <w:r>
        <w:t xml:space="preserve">Beyond direct cost savings, continual learning-enabled training provides:</w:t>
      </w:r>
    </w:p>
    <w:p>
      <w:pPr>
        <w:pStyle w:val="ListParagraph"/>
        <w:numPr>
          <w:ilvl w:val="0"/>
          <w:numId w:val="1"/>
        </w:numPr>
        <w:spacing w:after="120"/>
      </w:pPr>
      <w:r>
        <w:t xml:space="preserve">Predictive diagnostics showing risks before training begins</w:t>
      </w:r>
    </w:p>
    <w:p>
      <w:pPr>
        <w:pStyle w:val="ListParagraph"/>
        <w:numPr>
          <w:ilvl w:val="0"/>
          <w:numId w:val="1"/>
        </w:numPr>
        <w:spacing w:after="120"/>
      </w:pPr>
      <w:r>
        <w:t xml:space="preserve">Guaranteed knowledge preservation through architectural design</w:t>
      </w:r>
    </w:p>
    <w:p>
      <w:pPr>
        <w:pStyle w:val="ListParagraph"/>
        <w:numPr>
          <w:ilvl w:val="0"/>
          <w:numId w:val="1"/>
        </w:numPr>
        <w:spacing w:after="120"/>
      </w:pPr>
      <w:r>
        <w:t xml:space="preserve">Verifiable capability continuity for regulatory compliance</w:t>
      </w:r>
    </w:p>
    <w:p>
      <w:pPr>
        <w:pStyle w:val="ListParagraph"/>
        <w:numPr>
          <w:ilvl w:val="0"/>
          <w:numId w:val="1"/>
        </w:numPr>
        <w:spacing w:after="240"/>
      </w:pPr>
      <w:r>
        <w:t xml:space="preserve">Extended model lifespans with compounding value over time</w:t>
      </w:r>
    </w:p>
    <w:p>
      <w:pPr>
        <w:spacing w:after="240"/>
      </w:pPr>
      <w:r>
        <w:t xml:space="preserve">As model scales increase and update frequency requirements rise, the gap between traditional and continual learning approaches will only widen. Organizations that continue treating all degradation as catastrophic forgetting will face escalating costs that grow exponentially with model size and update cadence.</w:t>
      </w:r>
    </w:p>
    <w:p>
      <w:pPr>
        <w:spacing w:after="240"/>
      </w:pPr>
      <w:r>
        <w:t xml:space="preserve">Those that adopt training methodologies designed for continual learning gain sustainable economics, competitive velocity, and the ability to maintain AI systems that evolve and improve over years rather than requiring constant rebuilding.</w:t>
      </w:r>
    </w:p>
    <w:p>
      <w:pPr>
        <w:spacing w:after="400"/>
      </w:pPr>
      <w:r>
        <w:t xml:space="preserve">The choice is not whether to adopt continual learning, but when. As industry costs continue escalating at 3x per year, the economic advantage of continual learning-enabled training becomes increasingly decisive.</w:t>
      </w:r>
    </w:p>
    <w:r>
      <w:br w:type="page"/>
    </w:r>
    <w:p>
      <w:pPr>
        <w:pStyle w:val="Heading1"/>
        <w:spacing w:before="400" w:after="240"/>
      </w:pPr>
      <w:r>
        <w:t xml:space="preserve">Appendix: Assumptions and Methodology</w:t>
      </w:r>
    </w:p>
    <w:p>
      <w:pPr>
        <w:pStyle w:val="Heading2"/>
        <w:spacing w:before="240" w:after="180"/>
      </w:pPr>
      <w:r>
        <w:t xml:space="preserve">Cost Calculation Assumptions</w:t>
      </w:r>
    </w:p>
    <w:p>
      <w:pPr>
        <w:pStyle w:val="ListParagraph"/>
        <w:numPr>
          <w:ilvl w:val="0"/>
          <w:numId w:val="1"/>
        </w:numPr>
        <w:spacing w:after="120"/>
      </w:pPr>
      <w:r>
        <w:t xml:space="preserve">Traditional Training Costs:</w:t>
      </w:r>
    </w:p>
    <w:p>
      <w:pPr>
        <w:pStyle w:val="ListParagraph"/>
        <w:numPr>
          <w:ilvl w:val="1"/>
          <w:numId w:val="1"/>
        </w:numPr>
        <w:spacing w:after="120"/>
      </w:pPr>
      <w:r>
        <w:t xml:space="preserve">Initial training costs based on publicly available industry benchmarks</w:t>
      </w:r>
    </w:p>
    <w:p>
      <w:pPr>
        <w:pStyle w:val="ListParagraph"/>
        <w:numPr>
          <w:ilvl w:val="1"/>
          <w:numId w:val="1"/>
        </w:numPr>
        <w:spacing w:after="120"/>
      </w:pPr>
      <w:r>
        <w:t xml:space="preserve">Retraining assumes continual pre-training (50% of full training cost)</w:t>
      </w:r>
    </w:p>
    <w:p>
      <w:pPr>
        <w:pStyle w:val="ListParagraph"/>
        <w:numPr>
          <w:ilvl w:val="1"/>
          <w:numId w:val="1"/>
        </w:numPr>
        <w:spacing w:after="120"/>
      </w:pPr>
      <w:r>
        <w:t xml:space="preserve">Update frequency: 4-5x/year (7B), 4x/year (70B), 3x/year (175B)</w:t>
      </w:r>
    </w:p>
    <w:p>
      <w:pPr>
        <w:pStyle w:val="ListParagraph"/>
        <w:numPr>
          <w:ilvl w:val="1"/>
          <w:numId w:val="1"/>
        </w:numPr>
        <w:spacing w:after="240"/>
      </w:pPr>
      <w:r>
        <w:t xml:space="preserve">Does not include inference, storage, or personnel costs (same across approaches)</w:t>
      </w:r>
    </w:p>
    <w:p>
      <w:pPr>
        <w:pStyle w:val="ListParagraph"/>
        <w:numPr>
          <w:ilvl w:val="0"/>
          <w:numId w:val="1"/>
        </w:numPr>
        <w:spacing w:after="120"/>
      </w:pPr>
      <w:r>
        <w:t xml:space="preserve">Continual Learning Costs:</w:t>
      </w:r>
    </w:p>
    <w:p>
      <w:pPr>
        <w:pStyle w:val="ListParagraph"/>
        <w:numPr>
          <w:ilvl w:val="1"/>
          <w:numId w:val="1"/>
        </w:numPr>
        <w:spacing w:after="120"/>
      </w:pPr>
      <w:r>
        <w:t xml:space="preserve">Initial training cost assumed equivalent to traditional approach</w:t>
      </w:r>
    </w:p>
    <w:p>
      <w:pPr>
        <w:pStyle w:val="ListParagraph"/>
        <w:numPr>
          <w:ilvl w:val="1"/>
          <w:numId w:val="1"/>
        </w:numPr>
        <w:spacing w:after="120"/>
      </w:pPr>
      <w:r>
        <w:t xml:space="preserve">Capacity assessments: ~2% of fine-tuning cost per assessment</w:t>
      </w:r>
    </w:p>
    <w:p>
      <w:pPr>
        <w:pStyle w:val="ListParagraph"/>
        <w:numPr>
          <w:ilvl w:val="1"/>
          <w:numId w:val="1"/>
        </w:numPr>
        <w:spacing w:after="120"/>
      </w:pPr>
      <w:r>
        <w:t xml:space="preserve">Safe fine-tuning: Standard fine-tuning computational costs</w:t>
      </w:r>
    </w:p>
    <w:p>
      <w:pPr>
        <w:pStyle w:val="ListParagraph"/>
        <w:numPr>
          <w:ilvl w:val="1"/>
          <w:numId w:val="1"/>
        </w:numPr>
        <w:spacing w:after="240"/>
      </w:pPr>
      <w:r>
        <w:t xml:space="preserve">Targeted interventions: 5-10% of retraining cost when needed (~2x/year)</w:t>
      </w:r>
    </w:p>
    <w:p>
      <w:pPr>
        <w:pStyle w:val="Heading2"/>
        <w:spacing w:before="240" w:after="180"/>
      </w:pPr>
      <w:r>
        <w:t xml:space="preserve">Research Foundation</w:t>
      </w:r>
    </w:p>
    <w:p>
      <w:pPr>
        <w:spacing w:after="180"/>
      </w:pPr>
      <w:r>
        <w:t xml:space="preserve">Cost projections based on:</w:t>
      </w:r>
    </w:p>
    <w:p>
      <w:pPr>
        <w:pStyle w:val="ListParagraph"/>
        <w:numPr>
          <w:ilvl w:val="0"/>
          <w:numId w:val="1"/>
        </w:numPr>
        <w:spacing w:after="120"/>
      </w:pPr>
      <w:r>
        <w:t xml:space="preserve">Published training costs from OpenAI (GPT-4), Google (Gemini), DeepSeek, and other frontier labs</w:t>
      </w:r>
    </w:p>
    <w:p>
      <w:pPr>
        <w:pStyle w:val="ListParagraph"/>
        <w:numPr>
          <w:ilvl w:val="0"/>
          <w:numId w:val="1"/>
        </w:numPr>
        <w:spacing w:after="120"/>
      </w:pPr>
      <w:r>
        <w:t xml:space="preserve">Industry analysis from Stanford AI Index Report 2024, Epoch AI, and research publications</w:t>
      </w:r>
    </w:p>
    <w:p>
      <w:pPr>
        <w:pStyle w:val="ListParagraph"/>
        <w:numPr>
          <w:ilvl w:val="0"/>
          <w:numId w:val="1"/>
        </w:numPr>
        <w:spacing w:after="120"/>
      </w:pPr>
      <w:r>
        <w:t xml:space="preserve">Empirical research demonstrating reversibility of inference-level degradation</w:t>
      </w:r>
    </w:p>
    <w:p>
      <w:pPr>
        <w:pStyle w:val="ListParagraph"/>
        <w:numPr>
          <w:ilvl w:val="0"/>
          <w:numId w:val="1"/>
        </w:numPr>
        <w:spacing w:after="240"/>
      </w:pPr>
      <w:r>
        <w:t xml:space="preserve">Conservative estimates favoring traditional approaches to ensure realistic comparisons</w:t>
      </w:r>
    </w:p>
    <w:p>
      <w:pPr>
        <w:pStyle w:val="Heading2"/>
        <w:spacing w:before="240" w:after="180"/>
      </w:pPr>
      <w:r>
        <w:t xml:space="preserve">Limitations and Caveats</w:t>
      </w:r>
    </w:p>
    <w:p>
      <w:pPr>
        <w:spacing w:after="180"/>
      </w:pPr>
      <w:r>
        <w:t xml:space="preserve">Actual costs vary by:</w:t>
      </w:r>
    </w:p>
    <w:p>
      <w:pPr>
        <w:pStyle w:val="ListParagraph"/>
        <w:numPr>
          <w:ilvl w:val="0"/>
          <w:numId w:val="1"/>
        </w:numPr>
        <w:spacing w:after="120"/>
      </w:pPr>
      <w:r>
        <w:t xml:space="preserve">Specific hardware and infrastructure choices</w:t>
      </w:r>
    </w:p>
    <w:p>
      <w:pPr>
        <w:pStyle w:val="ListParagraph"/>
        <w:numPr>
          <w:ilvl w:val="0"/>
          <w:numId w:val="1"/>
        </w:numPr>
        <w:spacing w:after="120"/>
      </w:pPr>
      <w:r>
        <w:t xml:space="preserve">Dataset size and complexity</w:t>
      </w:r>
    </w:p>
    <w:p>
      <w:pPr>
        <w:pStyle w:val="ListParagraph"/>
        <w:numPr>
          <w:ilvl w:val="0"/>
          <w:numId w:val="1"/>
        </w:numPr>
        <w:spacing w:after="120"/>
      </w:pPr>
      <w:r>
        <w:t xml:space="preserve">Organizational efficiency and expertise</w:t>
      </w:r>
    </w:p>
    <w:p>
      <w:pPr>
        <w:pStyle w:val="ListParagraph"/>
        <w:numPr>
          <w:ilvl w:val="0"/>
          <w:numId w:val="1"/>
        </w:numPr>
        <w:spacing w:after="240"/>
      </w:pPr>
      <w:r>
        <w:t xml:space="preserve">Specific architectural choices and optimizations</w:t>
      </w:r>
    </w:p>
    <w:p>
      <w:pPr>
        <w:spacing w:after="400"/>
      </w:pPr>
      <w:r>
        <w:t xml:space="preserve">These projections should be used as directional guidance for understanding relative cost structures rather than precise predictions for specific implementations.</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240" w:after="240"/>
      <w:outlineLvl w:val="0"/>
    </w:pPr>
    <w:rPr>
      <w:rFonts w:ascii="Arial" w:cs="Arial" w:eastAsia="Arial" w:hAnsi="Arial"/>
      <w:b/>
      <w:bCs/>
      <w:sz w:val="32"/>
      <w:szCs w:val="32"/>
    </w:rPr>
  </w:style>
  <w:style w:type="paragraph" w:styleId="Heading2">
    <w:name w:val="Heading 2"/>
    <w:basedOn w:val="Normal"/>
    <w:next w:val="Normal"/>
    <w:qFormat/>
    <w:pPr>
      <w:spacing w:before="180" w:after="180"/>
      <w:outlineLvl w:val="1"/>
    </w:pPr>
    <w:rPr>
      <w:rFonts w:ascii="Arial" w:cs="Arial" w:eastAsia="Arial" w:hAnsi="Arial"/>
      <w:b/>
      <w:bCs/>
      <w:sz w:val="28"/>
      <w:szCs w:val="28"/>
    </w:rPr>
  </w:style>
  <w:style w:type="paragraph" w:styleId="Heading3">
    <w:name w:val="Heading 3"/>
    <w:basedOn w:val="Normal"/>
    <w:next w:val="Normal"/>
    <w:qFormat/>
    <w:pPr>
      <w:spacing w:before="120" w:after="120"/>
      <w:outlineLvl w:val="2"/>
    </w:pPr>
    <w:rPr>
      <w:rFonts w:ascii="Arial" w:cs="Arial" w:eastAsia="Arial" w:hAnsi="Arial"/>
      <w:b/>
      <w:bCs/>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2026-01-19T20:53:02.454Z</dcterms:created>
  <dcterms:modified xsi:type="dcterms:W3CDTF">2026-01-19T20:53:02.455Z</dcterms:modified>
</cp:coreProperties>
</file>

<file path=docProps/custom.xml><?xml version="1.0" encoding="utf-8"?>
<Properties xmlns="http://schemas.openxmlformats.org/officeDocument/2006/custom-properties" xmlns:vt="http://schemas.openxmlformats.org/officeDocument/2006/docPropsVTypes"/>
</file>