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Heading1"/>
        <w:spacing w:after="400"/>
        <w:jc w:val="center"/>
      </w:pPr>
      <w:r>
        <w:t xml:space="preserve">LLM Retraining Costs &amp; Infrastructure Optimization</w:t>
      </w:r>
    </w:p>
    <w:p>
      <w:pPr>
        <w:spacing w:after="600"/>
        <w:jc w:val="center"/>
      </w:pPr>
      <w:r>
        <w:t xml:space="preserve">Comprehensive Research on Trillion-Parameter Model Economics</w:t>
      </w:r>
    </w:p>
    <w:p>
      <w:pPr>
        <w:pStyle w:val="Heading1"/>
        <w:spacing w:before="400" w:after="240"/>
      </w:pPr>
      <w:r>
        <w:t xml:space="preserve">Executive Summary</w:t>
      </w:r>
    </w:p>
    <w:p>
      <w:pPr>
        <w:spacing w:after="240"/>
      </w:pPr>
      <w:r>
        <w:t xml:space="preserve">Training costs for trillion-parameter LLMs have traditionally ranged from $78 million (GPT-4) to $191 million (Gemini Ultra), but recent innovations demonstrate that comparable performance can be achieved at 95% lower costs. This research examines the economics of LLM training, retraining strategies, and infrastructure optimization opportunities that could save companies millions in operational expenses.</w:t>
      </w:r>
    </w:p>
    <w:p>
      <w:pPr>
        <w:pStyle w:val="ListParagraph"/>
        <w:numPr>
          <w:ilvl w:val="0"/>
          <w:numId w:val="1"/>
        </w:numPr>
        <w:spacing w:before="120" w:after="120"/>
      </w:pPr>
      <w:r>
        <w:t xml:space="preserve">Key Findings:</w:t>
      </w:r>
    </w:p>
    <w:p>
      <w:pPr>
        <w:pStyle w:val="ListParagraph"/>
        <w:numPr>
          <w:ilvl w:val="1"/>
          <w:numId w:val="1"/>
        </w:numPr>
        <w:spacing w:after="120"/>
      </w:pPr>
      <w:r>
        <w:t xml:space="preserve">Training a frontier-class model traditionally costs $78M-$191M, but can be achieved for $5.6M with optimized architectures (98% reduction)</w:t>
      </w:r>
    </w:p>
    <w:p>
      <w:pPr>
        <w:pStyle w:val="ListParagraph"/>
        <w:numPr>
          <w:ilvl w:val="1"/>
          <w:numId w:val="1"/>
        </w:numPr>
        <w:spacing w:after="120"/>
      </w:pPr>
      <w:r>
        <w:t xml:space="preserve">Retraining costs approximately 2x less than training from scratch through continual pre-training</w:t>
      </w:r>
    </w:p>
    <w:p>
      <w:pPr>
        <w:pStyle w:val="ListParagraph"/>
        <w:numPr>
          <w:ilvl w:val="1"/>
          <w:numId w:val="1"/>
        </w:numPr>
        <w:spacing w:after="120"/>
      </w:pPr>
      <w:r>
        <w:t xml:space="preserve">Infrastructure optimization can reduce operational costs by 30-80% through techniques like quantization, model distillation, and efficient serving</w:t>
      </w:r>
    </w:p>
    <w:p>
      <w:pPr>
        <w:pStyle w:val="ListParagraph"/>
        <w:numPr>
          <w:ilvl w:val="1"/>
          <w:numId w:val="1"/>
        </w:numPr>
        <w:spacing w:after="400"/>
      </w:pPr>
      <w:r>
        <w:t xml:space="preserve">Training costs are growing at 3x per year, making efficiency improvements critical for sustainability</w:t>
      </w:r>
    </w:p>
    <w:p>
      <w:pPr>
        <w:pStyle w:val="Heading1"/>
        <w:spacing w:before="400" w:after="240"/>
      </w:pPr>
      <w:r>
        <w:t xml:space="preserve">1. Training Cost Benchmarks for Large Language Models</w:t>
      </w:r>
    </w:p>
    <w:p>
      <w:pPr>
        <w:pStyle w:val="Heading2"/>
        <w:spacing w:before="240" w:after="180"/>
      </w:pPr>
      <w:r>
        <w:t xml:space="preserve">1.1 Current Market Costs</w:t>
      </w:r>
    </w:p>
    <w:p>
      <w:pPr>
        <w:spacing w:after="240"/>
      </w:pPr>
      <w:r>
        <w:t xml:space="preserve">Training costs for frontier LLMs vary dramatically based on architecture, training methodology, and infrastructure efficiency: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  <w:gridCol w:w="100"/>
        <w:gridCol w:w="100"/>
        <w:gridCol w:w="100"/>
      </w:tblGrid>
      <w:tr>
        <w:tc>
          <w:tcPr>
            <w:tcW w:type="pct" w:w="30%"/>
            <w:shd w:fill="D3D3D3"/>
          </w:tcPr>
          <w:p>
            <w:pPr>
              <w:jc w:val="center"/>
            </w:pPr>
            <w:r>
              <w:t xml:space="preserve">Model</w:t>
            </w:r>
          </w:p>
        </w:tc>
        <w:tc>
          <w:tcPr>
            <w:tcW w:type="pct" w:w="20%"/>
            <w:shd w:fill="D3D3D3"/>
          </w:tcPr>
          <w:p>
            <w:pPr>
              <w:jc w:val="center"/>
            </w:pPr>
            <w:r>
              <w:t xml:space="preserve">Parameters</w:t>
            </w:r>
          </w:p>
        </w:tc>
        <w:tc>
          <w:tcPr>
            <w:tcW w:type="pct" w:w="25%"/>
            <w:shd w:fill="D3D3D3"/>
          </w:tcPr>
          <w:p>
            <w:pPr>
              <w:jc w:val="center"/>
            </w:pPr>
            <w:r>
              <w:t xml:space="preserve">Training Cost</w:t>
            </w:r>
          </w:p>
        </w:tc>
        <w:tc>
          <w:tcPr>
            <w:tcW w:type="pct" w:w="25%"/>
            <w:shd w:fill="D3D3D3"/>
          </w:tcPr>
          <w:p>
            <w:pPr>
              <w:jc w:val="center"/>
            </w:pPr>
            <w:r>
              <w:t xml:space="preserve">Year</w:t>
            </w:r>
          </w:p>
        </w:tc>
      </w:tr>
      <w:tr>
        <w:tc>
          <w:p>
            <w:r>
              <w:t xml:space="preserve">GPT-3</w:t>
            </w:r>
          </w:p>
        </w:tc>
        <w:tc>
          <w:p>
            <w:r>
              <w:t xml:space="preserve">175B</w:t>
            </w:r>
          </w:p>
        </w:tc>
        <w:tc>
          <w:p>
            <w:r>
              <w:t xml:space="preserve">$0.5M - $4.6M</w:t>
            </w:r>
          </w:p>
        </w:tc>
        <w:tc>
          <w:p>
            <w:r>
              <w:t xml:space="preserve">2020</w:t>
            </w:r>
          </w:p>
        </w:tc>
      </w:tr>
      <w:tr>
        <w:tc>
          <w:p>
            <w:r>
              <w:t xml:space="preserve">GPT-4</w:t>
            </w:r>
          </w:p>
        </w:tc>
        <w:tc>
          <w:p>
            <w:r>
              <w:t xml:space="preserve">~1T (estimated)</w:t>
            </w:r>
          </w:p>
        </w:tc>
        <w:tc>
          <w:p>
            <w:r>
              <w:t xml:space="preserve">$78M - $100M</w:t>
            </w:r>
          </w:p>
        </w:tc>
        <w:tc>
          <w:p>
            <w:r>
              <w:t xml:space="preserve">2023</w:t>
            </w:r>
          </w:p>
        </w:tc>
      </w:tr>
      <w:tr>
        <w:tc>
          <w:p>
            <w:r>
              <w:t xml:space="preserve">Gemini Ultra</w:t>
            </w:r>
          </w:p>
        </w:tc>
        <w:tc>
          <w:p>
            <w:r>
              <w:t xml:space="preserve">Undisclosed</w:t>
            </w:r>
          </w:p>
        </w:tc>
        <w:tc>
          <w:p>
            <w:r>
              <w:t xml:space="preserve">$191M</w:t>
            </w:r>
          </w:p>
        </w:tc>
        <w:tc>
          <w:p>
            <w:r>
              <w:t xml:space="preserve">2024</w:t>
            </w:r>
          </w:p>
        </w:tc>
      </w:tr>
      <w:tr>
        <w:tc>
          <w:p>
            <w:r>
              <w:t xml:space="preserve">DeepSeek-V3</w:t>
            </w:r>
          </w:p>
        </w:tc>
        <w:tc>
          <w:p>
            <w:r>
              <w:t xml:space="preserve">671B</w:t>
            </w:r>
          </w:p>
        </w:tc>
        <w:tc>
          <w:p>
            <w:r>
              <w:t xml:space="preserve">$5.6M</w:t>
            </w:r>
          </w:p>
        </w:tc>
        <w:tc>
          <w:p>
            <w:r>
              <w:t xml:space="preserve">2024</w:t>
            </w:r>
          </w:p>
        </w:tc>
      </w:tr>
    </w:tbl>
    <w:p>
      <w:pPr>
        <w:spacing w:before="180" w:after="240"/>
      </w:pPr>
      <w:r>
        <w:t xml:space="preserve">Note: DeepSeek's disclosed costs exclude infrastructure investments ($51M+ in hardware), bringing total investment to over $500M. However, the marginal cost per training run remains dramatically lower.</w:t>
      </w:r>
    </w:p>
    <w:p>
      <w:pPr>
        <w:pStyle w:val="Heading2"/>
        <w:spacing w:before="240" w:after="180"/>
      </w:pPr>
      <w:r>
        <w:t xml:space="preserve">1.2 Cost Growth Trends</w:t>
      </w:r>
    </w:p>
    <w:p>
      <w:pPr>
        <w:spacing w:after="180"/>
      </w:pPr>
      <w:r>
        <w:t xml:space="preserve">AI training costs have grown at approximately 3x per year since 2020, representing a 43-fold increase over four years. This exponential growth is driven by: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Increasing model size and parameter counts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Larger training datasets (now reaching 14.8+ trillion tokens)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More complex architectures requiring greater computational resources</w:t>
      </w:r>
    </w:p>
    <w:p>
      <w:pPr>
        <w:pStyle w:val="ListParagraph"/>
        <w:numPr>
          <w:ilvl w:val="0"/>
          <w:numId w:val="1"/>
        </w:numPr>
        <w:spacing w:after="400"/>
      </w:pPr>
      <w:r>
        <w:t xml:space="preserve">Extended training runs for better performance</w:t>
      </w:r>
    </w:p>
    <w:p>
      <w:pPr>
        <w:pStyle w:val="Heading1"/>
        <w:spacing w:before="400" w:after="240"/>
      </w:pPr>
      <w:r>
        <w:t xml:space="preserve">2. Retraining Economics: Full vs. Incremental Approaches</w:t>
      </w:r>
    </w:p>
    <w:p>
      <w:pPr>
        <w:pStyle w:val="Heading2"/>
        <w:spacing w:before="240" w:after="180"/>
      </w:pPr>
      <w:r>
        <w:t xml:space="preserve">2.1 Full Retraining</w:t>
      </w:r>
    </w:p>
    <w:p>
      <w:pPr>
        <w:spacing w:after="180"/>
      </w:pPr>
      <w:r>
        <w:t xml:space="preserve">Full retraining involves re-processing the entire dataset with updated data, offering the most consistent model performance but at significant cost. Key characteristics: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Cost Efficiency: Continual pre-training reduces computational costs by approximately 2x compared to training from scratch while maintaining similar performance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Time Reduction: Models converge faster starting from pretrained checkpoints, requiring substantially fewer tokens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Quality: Provides deeply integrated improvements and long-term stability with smooth distribution of internal representations</w:t>
      </w:r>
    </w:p>
    <w:p>
      <w:pPr>
        <w:pStyle w:val="ListParagraph"/>
        <w:numPr>
          <w:ilvl w:val="0"/>
          <w:numId w:val="1"/>
        </w:numPr>
        <w:spacing w:after="240"/>
      </w:pPr>
      <w:r>
        <w:t xml:space="preserve">Use Cases: Preferred for mission-critical applications (finance, medical analysis, legal workflows) requiring robust, consistent performance</w:t>
      </w:r>
    </w:p>
    <w:p>
      <w:pPr>
        <w:pStyle w:val="Heading2"/>
        <w:spacing w:before="240" w:after="180"/>
      </w:pPr>
      <w:r>
        <w:t xml:space="preserve">2.2 Incremental Learning Approaches</w:t>
      </w:r>
    </w:p>
    <w:p>
      <w:pPr>
        <w:spacing w:after="180"/>
      </w:pPr>
      <w:r>
        <w:t xml:space="preserve">Incremental learning methods allow models to absorb new information without reprocessing the entire dataset, dramatically reducing costs: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Fine-tuning: Training on new data only, offering efficiency but risking catastrophic forgetting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LoRA (Low-Rank Adaptation): Training lightweight adapter modules that can run on modest hardware (even a 65B model on a single 48GB GPU). Achieves performance close to full fine-tuning while using a fraction of compute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RAG (Retrieval-Augmented Generation): Augmenting models with external knowledge bases without weight updates</w:t>
      </w:r>
    </w:p>
    <w:p>
      <w:pPr>
        <w:pStyle w:val="ListParagraph"/>
        <w:numPr>
          <w:ilvl w:val="0"/>
          <w:numId w:val="1"/>
        </w:numPr>
        <w:spacing w:after="400"/>
      </w:pPr>
      <w:r>
        <w:t xml:space="preserve">Cost Savings: Reduces training time by orders of magnitude compared to full retraining, enabling more frequent updates at sustainable costs</w:t>
      </w:r>
    </w:p>
    <w:p>
      <w:pPr>
        <w:pStyle w:val="Heading1"/>
        <w:spacing w:before="400" w:after="240"/>
      </w:pPr>
      <w:r>
        <w:t xml:space="preserve">3. Infrastructure Cost Drivers</w:t>
      </w:r>
    </w:p>
    <w:p>
      <w:pPr>
        <w:pStyle w:val="Heading2"/>
        <w:spacing w:before="240" w:after="180"/>
      </w:pPr>
      <w:r>
        <w:t xml:space="preserve">3.1 Hardware Costs</w:t>
      </w:r>
    </w:p>
    <w:p>
      <w:pPr>
        <w:spacing w:after="180"/>
      </w:pPr>
      <w:r>
        <w:t xml:space="preserve">GPU rental costs constitute the largest operational expense: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NVIDIA A100: $1-2 per hour ($750-$1,500 monthly continuous operation)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NVIDIA H100: $1.49-$3.90 per hour (down from $7-8/hr in 2024, representing 44-56% price reduction)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Enterprise-scale deployments: $10,000-$20,000 monthly for cloud hosting</w:t>
      </w:r>
    </w:p>
    <w:p>
      <w:pPr>
        <w:pStyle w:val="ListParagraph"/>
        <w:numPr>
          <w:ilvl w:val="0"/>
          <w:numId w:val="1"/>
        </w:numPr>
        <w:spacing w:after="240"/>
      </w:pPr>
      <w:r>
        <w:t xml:space="preserve">Training a 70B parameter model at scale: $10,000s in GPU costs for a single training run</w:t>
      </w:r>
    </w:p>
    <w:p>
      <w:pPr>
        <w:pStyle w:val="Heading2"/>
        <w:spacing w:before="240" w:after="180"/>
      </w:pPr>
      <w:r>
        <w:t xml:space="preserve">3.2 Additional Infrastructure Costs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Energy consumption for GPU operations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Storage costs for training data, model checkpoints, and logs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Network bandwidth for distributed training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Data curation and annotation (can cost millions for high-quality datasets)</w:t>
      </w:r>
    </w:p>
    <w:p>
      <w:pPr>
        <w:pStyle w:val="ListParagraph"/>
        <w:numPr>
          <w:ilvl w:val="0"/>
          <w:numId w:val="1"/>
        </w:numPr>
        <w:spacing w:after="400"/>
      </w:pPr>
      <w:r>
        <w:t xml:space="preserve">Research personnel and engineering teams</w:t>
      </w:r>
    </w:p>
    <w:r>
      <w:br w:type="page"/>
    </w:r>
    <w:p>
      <w:pPr>
        <w:pStyle w:val="Heading1"/>
        <w:spacing w:before="400" w:after="240"/>
      </w:pPr>
      <w:r>
        <w:t xml:space="preserve">4. Cost Optimization Strategies &amp; Potential Savings</w:t>
      </w:r>
    </w:p>
    <w:p>
      <w:pPr>
        <w:pStyle w:val="Heading2"/>
        <w:spacing w:before="240" w:after="180"/>
      </w:pPr>
      <w:r>
        <w:t xml:space="preserve">4.1 Architectural Innovations</w:t>
      </w:r>
    </w:p>
    <w:p>
      <w:pPr>
        <w:pStyle w:val="Heading3"/>
        <w:spacing w:before="180" w:after="120"/>
      </w:pPr>
      <w:r>
        <w:t xml:space="preserve">Mixture-of-Experts (MoE) Architecture</w:t>
      </w:r>
    </w:p>
    <w:p>
      <w:pPr>
        <w:spacing w:after="180"/>
      </w:pPr>
      <w:r>
        <w:t xml:space="preserve">MoE models activate only a subset of parameters per token, dramatically reducing computational requirements: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DeepSeek-V3: 671B total parameters but only 37B activated per token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Training cost reduction: 95% compared to traditional dense models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Switch Transformers: Achieved 7x speedup with equivalent performance</w:t>
      </w:r>
    </w:p>
    <w:p>
      <w:pPr>
        <w:pStyle w:val="ListParagraph"/>
        <w:numPr>
          <w:ilvl w:val="0"/>
          <w:numId w:val="1"/>
        </w:numPr>
        <w:spacing w:after="240"/>
      </w:pPr>
      <w:r>
        <w:t xml:space="preserve">Cost savings: Up to 90% reduction in computation while maintaining quality</w:t>
      </w:r>
    </w:p>
    <w:p>
      <w:pPr>
        <w:pStyle w:val="Heading3"/>
        <w:spacing w:before="180" w:after="120"/>
      </w:pPr>
      <w:r>
        <w:t xml:space="preserve">Multi-Head Latent Attention (MLA)</w:t>
      </w:r>
    </w:p>
    <w:p>
      <w:pPr>
        <w:spacing w:after="240"/>
      </w:pPr>
      <w:r>
        <w:t xml:space="preserve">Reduces KV cache memory usage by 93.3% compared to standard attention mechanisms, enabling more efficient inference and lower memory requirements during both training and deployment.</w:t>
      </w:r>
    </w:p>
    <w:p>
      <w:pPr>
        <w:pStyle w:val="Heading2"/>
        <w:spacing w:before="240" w:after="180"/>
      </w:pPr>
      <w:r>
        <w:t xml:space="preserve">4.2 Training Optimization Techniques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FP8 Mixed Precision Training: Reduces memory bandwidth requirements by roughly 50%, enabling larger batch sizes and faster training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Custom Pipeline Algorithms: Improved GPU utilization compared to standard approaches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Multi-Token Prediction: Improves sample efficiency, reducing the total number of tokens needed for training</w:t>
      </w:r>
    </w:p>
    <w:p>
      <w:pPr>
        <w:pStyle w:val="ListParagraph"/>
        <w:numPr>
          <w:ilvl w:val="0"/>
          <w:numId w:val="1"/>
        </w:numPr>
        <w:spacing w:after="240"/>
      </w:pPr>
      <w:r>
        <w:t xml:space="preserve">Curriculum Learning: Organizing training data by difficulty can improve stability and convergence speed</w:t>
      </w:r>
    </w:p>
    <w:p>
      <w:pPr>
        <w:pStyle w:val="Heading2"/>
        <w:spacing w:before="240" w:after="180"/>
      </w:pPr>
      <w:r>
        <w:t xml:space="preserve">4.3 Inference Cost Reduction</w:t>
      </w:r>
    </w:p>
    <w:p>
      <w:pPr>
        <w:spacing w:after="180"/>
      </w:pPr>
      <w:r>
        <w:t xml:space="preserve">Organizations deploying LLMs at scale face ongoing inference costs that often exceed training costs. Optimization strategies include:</w:t>
      </w:r>
    </w:p>
    <w:p>
      <w:pPr>
        <w:pStyle w:val="Heading3"/>
        <w:spacing w:before="180" w:after="120"/>
      </w:pPr>
      <w:r>
        <w:t xml:space="preserve">Quantization</w:t>
      </w:r>
    </w:p>
    <w:p>
      <w:pPr>
        <w:spacing w:after="180"/>
      </w:pPr>
      <w:r>
        <w:t xml:space="preserve">Reducing numerical precision from 16-bit (FP16) to 8-bit (INT8) or 4-bit (INT4):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Memory reduction: 2-4x decrease in model size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Performance maintenance: 95-99% of original model quality</w:t>
      </w:r>
    </w:p>
    <w:p>
      <w:pPr>
        <w:pStyle w:val="ListParagraph"/>
        <w:numPr>
          <w:ilvl w:val="0"/>
          <w:numId w:val="1"/>
        </w:numPr>
        <w:spacing w:after="240"/>
      </w:pPr>
      <w:r>
        <w:t xml:space="preserve">Cost savings: Enables deployment on less expensive hardware</w:t>
      </w:r>
    </w:p>
    <w:p>
      <w:pPr>
        <w:pStyle w:val="Heading3"/>
        <w:spacing w:before="180" w:after="120"/>
      </w:pPr>
      <w:r>
        <w:t xml:space="preserve">Model Distillation</w:t>
      </w:r>
    </w:p>
    <w:p>
      <w:pPr>
        <w:spacing w:after="180"/>
      </w:pPr>
      <w:r>
        <w:t xml:space="preserve">Creating smaller student models from larger teacher models: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Stanford's Alpaca: Trained for under $600, achieving performance close to GPT-3.5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SwiftKV optimizations: 75% inference cost reduction and 50% prefill compute reduction</w:t>
      </w:r>
    </w:p>
    <w:p>
      <w:pPr>
        <w:pStyle w:val="ListParagraph"/>
        <w:numPr>
          <w:ilvl w:val="0"/>
          <w:numId w:val="1"/>
        </w:numPr>
        <w:spacing w:after="240"/>
      </w:pPr>
      <w:r>
        <w:t xml:space="preserve">Performance retention: Up to 97% of original capabilities</w:t>
      </w:r>
    </w:p>
    <w:p>
      <w:pPr>
        <w:pStyle w:val="Heading3"/>
        <w:spacing w:before="180" w:after="120"/>
      </w:pPr>
      <w:r>
        <w:t xml:space="preserve">Prompt Optimization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LLMLingua compression: Up to 20x prompt compression (95% token reduction) while preserving semantic meaning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Example: 800-token prompt compressed to 40 tokens with maintained output quality</w:t>
      </w:r>
    </w:p>
    <w:p>
      <w:pPr>
        <w:pStyle w:val="ListParagraph"/>
        <w:numPr>
          <w:ilvl w:val="0"/>
          <w:numId w:val="1"/>
        </w:numPr>
        <w:spacing w:after="240"/>
      </w:pPr>
      <w:r>
        <w:t xml:space="preserve">Immediate cost impact: No infrastructure changes required</w:t>
      </w:r>
    </w:p>
    <w:p>
      <w:pPr>
        <w:pStyle w:val="Heading3"/>
        <w:spacing w:before="180" w:after="120"/>
      </w:pPr>
      <w:r>
        <w:t xml:space="preserve">Caching and Batching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Semantic caching: Serve similar queries without recomputation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Continuous batching: Process multiple requests simultaneously for better GPU utilization</w:t>
      </w:r>
    </w:p>
    <w:p>
      <w:pPr>
        <w:pStyle w:val="ListParagraph"/>
        <w:numPr>
          <w:ilvl w:val="0"/>
          <w:numId w:val="1"/>
        </w:numPr>
        <w:spacing w:after="240"/>
      </w:pPr>
      <w:r>
        <w:t xml:space="preserve">vLLM with PagedAttention: 14-24x higher throughput for models like LLaMA</w:t>
      </w:r>
    </w:p>
    <w:p>
      <w:pPr>
        <w:pStyle w:val="Heading2"/>
        <w:spacing w:before="240" w:after="180"/>
      </w:pPr>
      <w:r>
        <w:t xml:space="preserve">4.4 Deployment Strategy Optimization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Model Cascading: Route queries to appropriately-sized models based on complexity, using larger models only when necessary. Can achieve 60% cost reduction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Spot Instances: Use preemptible GPUs for batch workloads, reducing costs by 60-80% with proper fault tolerance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On-Premises vs Cloud: Dell AI Factory demonstrated 2.6x better cost-effectiveness than IaaS and 4.1x better than GPT-4o API for organizations with sufficient scale</w:t>
      </w:r>
    </w:p>
    <w:p>
      <w:pPr>
        <w:pStyle w:val="ListParagraph"/>
        <w:numPr>
          <w:ilvl w:val="0"/>
          <w:numId w:val="1"/>
        </w:numPr>
        <w:spacing w:after="400"/>
      </w:pPr>
      <w:r>
        <w:t xml:space="preserve">Automated Infrastructure: Tools like Cast AI can reduce Kubernetes infrastructure costs by 50-70% through intelligent resource scheduling</w:t>
      </w:r>
    </w:p>
    <w:p>
      <w:pPr>
        <w:pStyle w:val="Heading1"/>
        <w:spacing w:before="400" w:after="240"/>
      </w:pPr>
      <w:r>
        <w:t xml:space="preserve">5. Compound Savings Analysis</w:t>
      </w:r>
    </w:p>
    <w:p>
      <w:pPr>
        <w:spacing w:after="180"/>
      </w:pPr>
      <w:r>
        <w:t xml:space="preserve">When optimization strategies are combined, organizations can achieve dramatic cost reductions: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  <w:gridCol w:w="100"/>
      </w:tblGrid>
      <w:tr>
        <w:tc>
          <w:tcPr>
            <w:tcW w:type="pct" w:w="50%"/>
            <w:shd w:fill="D3D3D3"/>
          </w:tcPr>
          <w:p>
            <w:pPr>
              <w:jc w:val="center"/>
            </w:pPr>
            <w:r>
              <w:t xml:space="preserve">Optimization Strategy</w:t>
            </w:r>
          </w:p>
        </w:tc>
        <w:tc>
          <w:tcPr>
            <w:tcW w:type="pct" w:w="50%"/>
            <w:shd w:fill="D3D3D3"/>
          </w:tcPr>
          <w:p>
            <w:pPr>
              <w:jc w:val="center"/>
            </w:pPr>
            <w:r>
              <w:t xml:space="preserve">Potential Savings</w:t>
            </w:r>
          </w:p>
        </w:tc>
      </w:tr>
      <w:tr>
        <w:tc>
          <w:p>
            <w:r>
              <w:t xml:space="preserve">Architectural Innovation (MoE)</w:t>
            </w:r>
          </w:p>
        </w:tc>
        <w:tc>
          <w:p>
            <w:r>
              <w:t xml:space="preserve">90-95%</w:t>
            </w:r>
          </w:p>
        </w:tc>
      </w:tr>
      <w:tr>
        <w:tc>
          <w:p>
            <w:r>
              <w:t xml:space="preserve">Continual Pre-training vs. From Scratch</w:t>
            </w:r>
          </w:p>
        </w:tc>
        <w:tc>
          <w:p>
            <w:r>
              <w:t xml:space="preserve">50%</w:t>
            </w:r>
          </w:p>
        </w:tc>
      </w:tr>
      <w:tr>
        <w:tc>
          <w:p>
            <w:r>
              <w:t xml:space="preserve">Quantization</w:t>
            </w:r>
          </w:p>
        </w:tc>
        <w:tc>
          <w:p>
            <w:r>
              <w:t xml:space="preserve">50-75%</w:t>
            </w:r>
          </w:p>
        </w:tc>
      </w:tr>
      <w:tr>
        <w:tc>
          <w:p>
            <w:r>
              <w:t xml:space="preserve">Model Distillation</w:t>
            </w:r>
          </w:p>
        </w:tc>
        <w:tc>
          <w:p>
            <w:r>
              <w:t xml:space="preserve">75%</w:t>
            </w:r>
          </w:p>
        </w:tc>
      </w:tr>
      <w:tr>
        <w:tc>
          <w:p>
            <w:r>
              <w:t xml:space="preserve">Prompt Optimization</w:t>
            </w:r>
          </w:p>
        </w:tc>
        <w:tc>
          <w:p>
            <w:r>
              <w:t xml:space="preserve">95%</w:t>
            </w:r>
          </w:p>
        </w:tc>
      </w:tr>
      <w:tr>
        <w:tc>
          <w:p>
            <w:r>
              <w:t xml:space="preserve">Infrastructure Automation</w:t>
            </w:r>
          </w:p>
        </w:tc>
        <w:tc>
          <w:p>
            <w:r>
              <w:t xml:space="preserve">50-70%</w:t>
            </w:r>
          </w:p>
        </w:tc>
      </w:tr>
      <w:tr>
        <w:tc>
          <w:p>
            <w:r>
              <w:t xml:space="preserve">Model Cascading</w:t>
            </w:r>
          </w:p>
        </w:tc>
        <w:tc>
          <w:p>
            <w:r>
              <w:t xml:space="preserve">60%</w:t>
            </w:r>
          </w:p>
        </w:tc>
      </w:tr>
      <w:tr>
        <w:tc>
          <w:tcPr>
            <w:shd w:fill="F0F0F0"/>
          </w:tcPr>
          <w:p>
            <w:r>
              <w:t xml:space="preserve">Combined Strategy</w:t>
            </w:r>
          </w:p>
        </w:tc>
        <w:tc>
          <w:tcPr>
            <w:shd w:fill="F0F0F0"/>
          </w:tcPr>
          <w:p>
            <w:r>
              <w:t xml:space="preserve">60-98%</w:t>
            </w:r>
          </w:p>
        </w:tc>
      </w:tr>
    </w:tbl>
    <w:p>
      <w:pPr>
        <w:spacing w:before="240" w:after="400"/>
      </w:pPr>
      <w:r>
        <w:t xml:space="preserve">Industry reports confirm that strategic optimization typically reduces spending by 30-50%, with comprehensive approaches achieving 60-80% or greater reductions.</w:t>
      </w:r>
    </w:p>
    <w:p>
      <w:pPr>
        <w:pStyle w:val="Heading1"/>
        <w:spacing w:before="400" w:after="240"/>
      </w:pPr>
      <w:r>
        <w:t xml:space="preserve">6. Business Case Examples</w:t>
      </w:r>
    </w:p>
    <w:p>
      <w:pPr>
        <w:pStyle w:val="Heading2"/>
        <w:spacing w:before="240" w:after="180"/>
      </w:pPr>
      <w:r>
        <w:t xml:space="preserve">6.1 High-Volume API Service</w:t>
      </w:r>
    </w:p>
    <w:p>
      <w:pPr>
        <w:spacing w:after="180"/>
      </w:pPr>
      <w:r>
        <w:t xml:space="preserve">Scenario: Fintech startup processing 2 billion tokens monthly for document analysis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Traditional approach (GPT-4): $26,000/month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Optimized approach (DeepSeek + infrastructure optimization): $500-1,000/month</w:t>
      </w:r>
    </w:p>
    <w:p>
      <w:pPr>
        <w:pStyle w:val="ListParagraph"/>
        <w:numPr>
          <w:ilvl w:val="0"/>
          <w:numId w:val="1"/>
        </w:numPr>
        <w:spacing w:after="240"/>
      </w:pPr>
      <w:r>
        <w:t xml:space="preserve">Annual savings: ~$300,000</w:t>
      </w:r>
    </w:p>
    <w:p>
      <w:pPr>
        <w:pStyle w:val="Heading2"/>
        <w:spacing w:before="240" w:after="180"/>
      </w:pPr>
      <w:r>
        <w:t xml:space="preserve">6.2 Enterprise Chatbot Deployment</w:t>
      </w:r>
    </w:p>
    <w:p>
      <w:pPr>
        <w:spacing w:after="180"/>
      </w:pPr>
      <w:r>
        <w:t xml:space="preserve">Scenario: 10,000 users with medium usage pattern over 4 years (70B parameter model)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Cloud IaaS deployment: Baseline cost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On-premises with Dell AI Factory: 2.6x more cost-effective</w:t>
      </w:r>
    </w:p>
    <w:p>
      <w:pPr>
        <w:pStyle w:val="ListParagraph"/>
        <w:numPr>
          <w:ilvl w:val="0"/>
          <w:numId w:val="1"/>
        </w:numPr>
        <w:spacing w:after="240"/>
      </w:pPr>
      <w:r>
        <w:t xml:space="preserve">GPT-4o API: 4.1x more expensive than on-premises solution</w:t>
      </w:r>
    </w:p>
    <w:p>
      <w:pPr>
        <w:pStyle w:val="Heading2"/>
        <w:spacing w:before="240" w:after="180"/>
      </w:pPr>
      <w:r>
        <w:t xml:space="preserve">6.3 Model Training Program</w:t>
      </w:r>
    </w:p>
    <w:p>
      <w:pPr>
        <w:spacing w:after="180"/>
      </w:pPr>
      <w:r>
        <w:t xml:space="preserve">Scenario: Organization training frontier-class model with quarterly updates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Traditional approach: $78M initial + $78M per retrain = $312M annually (4 training runs)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Optimized approach: $5.6M initial + $2.8M per continual pre-train = $14M annually</w:t>
      </w:r>
    </w:p>
    <w:p>
      <w:pPr>
        <w:pStyle w:val="ListParagraph"/>
        <w:numPr>
          <w:ilvl w:val="0"/>
          <w:numId w:val="1"/>
        </w:numPr>
        <w:spacing w:after="400"/>
      </w:pPr>
      <w:r>
        <w:t xml:space="preserve">Annual savings: $298M (95% reduction)</w:t>
      </w:r>
    </w:p>
    <w:r>
      <w:br w:type="page"/>
    </w:r>
    <w:p>
      <w:pPr>
        <w:pStyle w:val="Heading1"/>
        <w:spacing w:before="400" w:after="240"/>
      </w:pPr>
      <w:r>
        <w:t xml:space="preserve">7. Implementation Framework for Cost Optimization</w:t>
      </w:r>
    </w:p>
    <w:p>
      <w:pPr>
        <w:pStyle w:val="Heading2"/>
        <w:spacing w:before="240" w:after="180"/>
      </w:pPr>
      <w:r>
        <w:t xml:space="preserve">7.1 Assessment Phase</w:t>
      </w:r>
    </w:p>
    <w:p>
      <w:pPr>
        <w:spacing w:after="180"/>
      </w:pPr>
      <w:r>
        <w:t xml:space="preserve">Establish current cost baseline: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GPU/compute costs per month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Token usage patterns (input/output ratios)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Training frequency and dataset sizes</w:t>
      </w:r>
    </w:p>
    <w:p>
      <w:pPr>
        <w:pStyle w:val="ListParagraph"/>
        <w:numPr>
          <w:ilvl w:val="0"/>
          <w:numId w:val="1"/>
        </w:numPr>
        <w:spacing w:after="240"/>
      </w:pPr>
      <w:r>
        <w:t xml:space="preserve">Current model performance metrics</w:t>
      </w:r>
    </w:p>
    <w:p>
      <w:pPr>
        <w:pStyle w:val="Heading2"/>
        <w:spacing w:before="240" w:after="180"/>
      </w:pPr>
      <w:r>
        <w:t xml:space="preserve">7.2 Quick Wins (Weeks 1-4)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Prompt optimization: 20-40% immediate reduction, no infrastructure changes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Implement caching for common queries: 15-30% reduction in redundant processing</w:t>
      </w:r>
    </w:p>
    <w:p>
      <w:pPr>
        <w:pStyle w:val="ListParagraph"/>
        <w:numPr>
          <w:ilvl w:val="0"/>
          <w:numId w:val="1"/>
        </w:numPr>
        <w:spacing w:after="240"/>
      </w:pPr>
      <w:r>
        <w:t xml:space="preserve">Switch to smaller models for simple tasks: 30-50% reduction on applicable workloads</w:t>
      </w:r>
    </w:p>
    <w:p>
      <w:pPr>
        <w:pStyle w:val="Heading2"/>
        <w:spacing w:before="240" w:after="180"/>
      </w:pPr>
      <w:r>
        <w:t xml:space="preserve">7.3 Medium-Term Improvements (Months 2-6)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Deploy quantized models: 50-70% infrastructure cost reduction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Implement model cascading: 40-60% reduction through intelligent routing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Optimize serving infrastructure with vLLM or TensorRT: 14-24x throughput improvement</w:t>
      </w:r>
    </w:p>
    <w:p>
      <w:pPr>
        <w:pStyle w:val="ListParagraph"/>
        <w:numPr>
          <w:ilvl w:val="0"/>
          <w:numId w:val="1"/>
        </w:numPr>
        <w:spacing w:after="240"/>
      </w:pPr>
      <w:r>
        <w:t xml:space="preserve">Deploy continuous batching: 30-50% better GPU utilization</w:t>
      </w:r>
    </w:p>
    <w:p>
      <w:pPr>
        <w:pStyle w:val="Heading2"/>
        <w:spacing w:before="240" w:after="180"/>
      </w:pPr>
      <w:r>
        <w:t xml:space="preserve">7.4 Strategic Initiatives (Months 6-12)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Evaluate architectural changes (MoE): 90-95% training cost reduction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Develop model distillation pipeline: 75% inference cost reduction while maintaining performance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Implement incremental learning strategy: 2x reduction in retraining costs</w:t>
      </w:r>
    </w:p>
    <w:p>
      <w:pPr>
        <w:pStyle w:val="ListParagraph"/>
        <w:numPr>
          <w:ilvl w:val="0"/>
          <w:numId w:val="1"/>
        </w:numPr>
        <w:spacing w:after="400"/>
      </w:pPr>
      <w:r>
        <w:t xml:space="preserve">Consider on-premises infrastructure for high-volume scenarios: 2-4x cost-effectiveness improvement</w:t>
      </w:r>
    </w:p>
    <w:p>
      <w:pPr>
        <w:pStyle w:val="Heading1"/>
        <w:spacing w:before="400" w:after="240"/>
      </w:pPr>
      <w:r>
        <w:t xml:space="preserve">8. Key Performance Indicators for Monitoring</w:t>
      </w:r>
    </w:p>
    <w:p>
      <w:pPr>
        <w:spacing w:after="180"/>
      </w:pPr>
      <w:r>
        <w:t xml:space="preserve">Track these metrics to measure optimization success: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Cost per token (input and output separately)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Cost per query/request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GPU utilization percentage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Cache hit rate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Average response latency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Model quality metrics (accuracy, F1 score, etc.)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Failure and retry rates</w:t>
      </w:r>
    </w:p>
    <w:p>
      <w:pPr>
        <w:pStyle w:val="ListParagraph"/>
        <w:numPr>
          <w:ilvl w:val="0"/>
          <w:numId w:val="1"/>
        </w:numPr>
        <w:spacing w:after="400"/>
      </w:pPr>
      <w:r>
        <w:t xml:space="preserve">Total cost of ownership (TCO) per user/per month</w:t>
      </w:r>
    </w:p>
    <w:p>
      <w:pPr>
        <w:pStyle w:val="Heading1"/>
        <w:spacing w:before="400" w:after="240"/>
      </w:pPr>
      <w:r>
        <w:t xml:space="preserve">9. Conclusions and Recommendations</w:t>
      </w:r>
    </w:p>
    <w:p>
      <w:pPr>
        <w:spacing w:after="240"/>
      </w:pPr>
      <w:r>
        <w:t xml:space="preserve">The economics of LLM training and deployment have undergone a dramatic transformation. While traditional approaches cost $78M-$191M for frontier models, innovative architectures and optimization strategies now enable comparable performance at 95% lower costs. Organizations can realize substantial savings through: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Architectural Innovation: MoE and efficient attention mechanisms reduce both training and inference costs by 90-95%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Retraining Strategy: Continual pre-training reduces costs by 50% compared to training from scratch, with incremental learning offering even greater savings for targeted updates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Infrastructure Optimization: Combined techniques (quantization, distillation, caching, batching) can reduce operational costs by 60-80%</w:t>
      </w:r>
    </w:p>
    <w:p>
      <w:pPr>
        <w:pStyle w:val="ListParagraph"/>
        <w:numPr>
          <w:ilvl w:val="0"/>
          <w:numId w:val="1"/>
        </w:numPr>
        <w:spacing w:after="240"/>
      </w:pPr>
      <w:r>
        <w:t xml:space="preserve">Deployment Strategy: Intelligent routing, model cascading, and appropriate infrastructure choices provide additional 40-60% savings</w:t>
      </w:r>
    </w:p>
    <w:p>
      <w:pPr>
        <w:spacing w:after="240"/>
      </w:pPr>
      <w:r>
        <w:t xml:space="preserve">For organizations considering LLM infrastructure investments, the key is to implement a comprehensive optimization strategy rather than relying on a single technique. Starting with quick wins like prompt optimization and caching, then progressively implementing more sophisticated approaches, organizations can achieve compound savings of 60-98% while maintaining or even improving model performance.</w:t>
      </w:r>
    </w:p>
    <w:p>
      <w:pPr>
        <w:spacing w:after="400"/>
      </w:pPr>
      <w:r>
        <w:t xml:space="preserve">Given that training costs are growing at 3x per year, implementing these optimizations is not just about immediate savings but about long-term sustainability and competitive advantage in the rapidly evolving AI landscape.</w:t>
      </w:r>
    </w:p>
    <w:r>
      <w:br w:type="page"/>
    </w:r>
    <w:p>
      <w:pPr>
        <w:pStyle w:val="Heading1"/>
        <w:spacing w:before="400" w:after="240"/>
      </w:pPr>
      <w:r>
        <w:t xml:space="preserve">Appendix: Technology Reference Guide</w:t>
      </w:r>
    </w:p>
    <w:p>
      <w:pPr>
        <w:pStyle w:val="Heading2"/>
        <w:spacing w:before="240" w:after="180"/>
      </w:pPr>
      <w:r>
        <w:t xml:space="preserve">Key Technologies and Tools</w:t>
      </w:r>
    </w:p>
    <w:p>
      <w:pPr>
        <w:pStyle w:val="Heading3"/>
        <w:spacing w:before="180" w:after="120"/>
      </w:pPr>
      <w:r>
        <w:t xml:space="preserve">Serving Frameworks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vLLM: High-performance inference with PagedAttention, 14-24x throughput improvement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TensorRT-LLM: NVIDIA's optimized inference library with graph optimization and kernel fusion</w:t>
      </w:r>
    </w:p>
    <w:p>
      <w:pPr>
        <w:pStyle w:val="ListParagraph"/>
        <w:numPr>
          <w:ilvl w:val="0"/>
          <w:numId w:val="1"/>
        </w:numPr>
        <w:spacing w:after="240"/>
      </w:pPr>
      <w:r>
        <w:t xml:space="preserve">Optimum: Cross-platform inference engine supporting multiple hardware backends</w:t>
      </w:r>
    </w:p>
    <w:p>
      <w:pPr>
        <w:pStyle w:val="Heading3"/>
        <w:spacing w:before="180" w:after="120"/>
      </w:pPr>
      <w:r>
        <w:t xml:space="preserve">Quantization Tools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GPTQ: Post-training quantization for 4-bit models with minimal accuracy loss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AWQ: Activation-aware weight quantization optimized for NVIDIA GPUs</w:t>
      </w:r>
    </w:p>
    <w:p>
      <w:pPr>
        <w:pStyle w:val="ListParagraph"/>
        <w:numPr>
          <w:ilvl w:val="0"/>
          <w:numId w:val="1"/>
        </w:numPr>
        <w:spacing w:after="240"/>
      </w:pPr>
      <w:r>
        <w:t xml:space="preserve">QLoRA: Quantized LoRA enabling fine-tuning of 65B models on single consumer GPUs</w:t>
      </w:r>
    </w:p>
    <w:p>
      <w:pPr>
        <w:pStyle w:val="Heading3"/>
        <w:spacing w:before="180" w:after="120"/>
      </w:pPr>
      <w:r>
        <w:t xml:space="preserve">Monitoring and Optimization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Helicone: Real-time LLM cost visibility and automated alerting</w:t>
      </w:r>
    </w:p>
    <w:p>
      <w:pPr>
        <w:pStyle w:val="ListParagraph"/>
        <w:numPr>
          <w:ilvl w:val="0"/>
          <w:numId w:val="1"/>
        </w:numPr>
        <w:spacing w:after="120"/>
      </w:pPr>
      <w:r>
        <w:t xml:space="preserve">Cast AI: Automated Kubernetes optimization for AI workloads, 50-70% cost reduction</w:t>
      </w:r>
    </w:p>
    <w:p>
      <w:pPr>
        <w:pStyle w:val="ListParagraph"/>
        <w:numPr>
          <w:ilvl w:val="0"/>
          <w:numId w:val="1"/>
        </w:numPr>
        <w:spacing w:after="240"/>
      </w:pPr>
      <w:r>
        <w:t xml:space="preserve">Weights &amp; Biases: Comprehensive monitoring for token usage, latency, and model performance</w:t>
      </w:r>
    </w:p>
    <w:p>
      <w:pPr>
        <w:spacing w:before="400" w:after="240"/>
      </w:pPr>
      <w:r>
        <w:t xml:space="preserve">Note: This research is based on publicly available information as of January 2025. Actual costs and savings will vary based on specific use cases, infrastructure, and implementation quality.</w:t>
      </w:r>
    </w:p>
    <w:sectPr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4"/>
        <w:szCs w:val="24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before="240" w:after="240"/>
      <w:outlineLvl w:val="0"/>
    </w:pPr>
    <w:rPr>
      <w:rFonts w:ascii="Arial" w:cs="Arial" w:eastAsia="Arial" w:hAnsi="Arial"/>
      <w:b/>
      <w:bCs/>
      <w:sz w:val="32"/>
      <w:szCs w:val="32"/>
    </w:rPr>
  </w:style>
  <w:style w:type="paragraph" w:styleId="Heading2">
    <w:name w:val="Heading 2"/>
    <w:basedOn w:val="Normal"/>
    <w:next w:val="Normal"/>
    <w:qFormat/>
    <w:pPr>
      <w:spacing w:before="180" w:after="180"/>
      <w:outlineLvl w:val="1"/>
    </w:pPr>
    <w:rPr>
      <w:rFonts w:ascii="Arial" w:cs="Arial" w:eastAsia="Arial" w:hAnsi="Arial"/>
      <w:b/>
      <w:bCs/>
      <w:sz w:val="28"/>
      <w:szCs w:val="28"/>
    </w:rPr>
  </w:style>
  <w:style w:type="paragraph" w:styleId="Heading3">
    <w:name w:val="Heading 3"/>
    <w:basedOn w:val="Normal"/>
    <w:next w:val="Normal"/>
    <w:qFormat/>
    <w:pPr>
      <w:spacing w:before="120" w:after="120"/>
      <w:outlineLvl w:val="2"/>
    </w:pPr>
    <w:rPr>
      <w:rFonts w:ascii="Arial" w:cs="Arial" w:eastAsia="Arial" w:hAnsi="Arial"/>
      <w:b/>
      <w:bCs/>
      <w:sz w:val="26"/>
      <w:szCs w:val="26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2026-01-19T19:55:29.172Z</dcterms:created>
  <dcterms:modified xsi:type="dcterms:W3CDTF">2026-01-19T19:55:29.173Z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